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香河县</w:t>
      </w:r>
      <w:r>
        <w:rPr>
          <w:rFonts w:hint="eastAsia" w:ascii="方正小标宋简体" w:hAnsi="方正小标宋简体" w:eastAsia="方正小标宋简体" w:cs="方正小标宋简体"/>
          <w:sz w:val="44"/>
          <w:szCs w:val="44"/>
          <w:lang w:val="en-US" w:eastAsia="zh-CN"/>
        </w:rPr>
        <w:t>司法局</w:t>
      </w:r>
      <w:r>
        <w:rPr>
          <w:rFonts w:hint="eastAsia" w:ascii="方正小标宋简体" w:hAnsi="方正小标宋简体" w:eastAsia="方正小标宋简体" w:cs="方正小标宋简体"/>
          <w:sz w:val="44"/>
          <w:szCs w:val="44"/>
        </w:rPr>
        <w:t>2023年部门预算信息公开情况说明</w:t>
      </w:r>
    </w:p>
    <w:p>
      <w:pPr>
        <w:spacing w:line="584" w:lineRule="exact"/>
        <w:ind w:firstLine="880" w:firstLineChars="200"/>
        <w:jc w:val="center"/>
        <w:rPr>
          <w:rFonts w:hint="eastAsia" w:ascii="方正小标宋_GBK" w:hAnsi="方正小标宋_GBK" w:eastAsia="方正小标宋_GBK" w:cs="方正小标宋_GBK"/>
          <w:sz w:val="44"/>
          <w:szCs w:val="44"/>
        </w:rPr>
      </w:pPr>
    </w:p>
    <w:p>
      <w:pPr>
        <w:spacing w:line="584"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按照《中华人民共和国预算法》、《中华人民共和国预算法实施条例》、《地方预决算公开操作规程》和《河北省省级预算公开办法》规定，现将香河县</w:t>
      </w:r>
      <w:r>
        <w:rPr>
          <w:rFonts w:hint="eastAsia" w:ascii="楷体" w:hAnsi="楷体" w:eastAsia="楷体" w:cs="楷体"/>
          <w:sz w:val="32"/>
          <w:szCs w:val="32"/>
          <w:lang w:val="en-US" w:eastAsia="zh-CN"/>
        </w:rPr>
        <w:t>司法局</w:t>
      </w:r>
      <w:r>
        <w:rPr>
          <w:rFonts w:hint="eastAsia" w:ascii="楷体" w:hAnsi="楷体" w:eastAsia="楷体" w:cs="楷体"/>
          <w:sz w:val="32"/>
          <w:szCs w:val="32"/>
        </w:rPr>
        <w:t>2023年部门预算公开如下：</w:t>
      </w:r>
    </w:p>
    <w:p>
      <w:pPr>
        <w:spacing w:line="58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一、部门职责及机构设置情况</w:t>
      </w:r>
    </w:p>
    <w:p>
      <w:pPr>
        <w:spacing w:line="584"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rPr>
        <w:t>部门职责：</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（一）承担全面依法治县重大问题的政策研究。组织协调有关方面提出全面依法治县中长期规划建议，负责有关重大决策部署督察工作。</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（二）负责起草或组织起草有关地方性法规和政府规章草案。承办各部门报送县政府的地方性法规和政府规章草案的审查工作。</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三）负责县政府各部门、各镇（社区、园区)政府规范性文件的备案审查工作。负责对县政府政策措施、规范性文件和合同协议的合法性审核工作；承办县政府交办的涉法事务；承办县政府规章和规范性文件上报国务院、市人大常委会、市政府和县人大常委会备案工作；负责县政府规章的编纂工作。</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四）承担统筹推进香河法治政府建设的责任。指导、监督县政府各部门、地方各级政府依法行政工作；负责综合协调行政执法工作；承担推进行政执法体制改革有关工作；推进严格规范公正文明执法。依法承办行政复议案件；受县政府委托，代理行政诉讼案件的应诉；指导、监督全县行政复议和行政应诉工作。</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五）承担统筹规划全县法治社会建设的责任。负责拟订全县法治宣传教育规划，组织实施普法宣传工作；推动全县人民参与和促进法治建设；指导全县依法治理和法治创建工作；指导全县调解工作，负责和指导全县人民陪审员、人民监督员选任管理工作；负责全县司法所建设。</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（六）负责全县社区矫正工作；负责全县刑满释放人员帮教安置工作。</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（七）负责制定全县公共法律服务体系建设规划并指导实施，统筹和布局城乡、区域法律服务资源。负责全县律师、公证、法律援助、司法鉴定和基层法律服务管理工作。</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（八）负责本系统服装和警车等物资装备管理工作；指导、监督本系统财务、装备、设施、场所等保障工作。</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（九）规划、协调、指导全县法治人才队伍建设相关工作。指导、监督本系统队伍建设；协助各镇（社区、园区）管理司法局领导干部。</w:t>
      </w:r>
    </w:p>
    <w:p>
      <w:pPr>
        <w:spacing w:line="500" w:lineRule="exact"/>
        <w:ind w:firstLine="640" w:firstLineChars="200"/>
        <w:jc w:val="both"/>
        <w:rPr>
          <w:rFonts w:hint="eastAsia" w:ascii="楷体" w:hAnsi="楷体" w:eastAsia="楷体" w:cs="楷体"/>
          <w:sz w:val="32"/>
          <w:szCs w:val="32"/>
        </w:rPr>
      </w:pPr>
      <w:r>
        <w:rPr>
          <w:rFonts w:hint="eastAsia" w:ascii="楷体" w:hAnsi="楷体" w:eastAsia="楷体" w:cs="楷体"/>
          <w:sz w:val="32"/>
          <w:szCs w:val="32"/>
        </w:rPr>
        <w:t>（十）完成县委、县政府交办的其他任务。</w:t>
      </w:r>
    </w:p>
    <w:p>
      <w:pPr>
        <w:autoSpaceDE w:val="0"/>
        <w:autoSpaceDN w:val="0"/>
        <w:adjustRightInd w:val="0"/>
        <w:spacing w:line="584" w:lineRule="exact"/>
        <w:ind w:firstLine="630" w:firstLineChars="196"/>
        <w:jc w:val="left"/>
        <w:rPr>
          <w:rFonts w:hint="eastAsia" w:ascii="楷体" w:hAnsi="楷体" w:eastAsia="楷体" w:cs="楷体"/>
          <w:b/>
          <w:sz w:val="32"/>
          <w:szCs w:val="32"/>
        </w:rPr>
      </w:pPr>
      <w:r>
        <w:rPr>
          <w:rFonts w:hint="eastAsia" w:ascii="楷体" w:hAnsi="楷体" w:eastAsia="楷体" w:cs="楷体"/>
          <w:b/>
          <w:sz w:val="32"/>
          <w:szCs w:val="32"/>
        </w:rPr>
        <w:t>机构设置：</w:t>
      </w:r>
    </w:p>
    <w:p>
      <w:pPr>
        <w:spacing w:line="584" w:lineRule="exact"/>
        <w:jc w:val="center"/>
        <w:outlineLvl w:val="0"/>
        <w:rPr>
          <w:rFonts w:hint="eastAsia" w:ascii="方正小标宋_GBK" w:hAnsi="方正小标宋_GBK" w:eastAsia="方正小标宋_GBK" w:cs="方正小标宋_GBK"/>
          <w:b/>
          <w:sz w:val="32"/>
          <w:szCs w:val="24"/>
        </w:rPr>
      </w:pPr>
    </w:p>
    <w:p>
      <w:pPr>
        <w:spacing w:line="584" w:lineRule="exact"/>
        <w:jc w:val="center"/>
        <w:outlineLvl w:val="0"/>
        <w:rPr>
          <w:rFonts w:hint="eastAsia" w:ascii="方正小标宋_GBK" w:hAnsi="方正小标宋_GBK" w:eastAsia="方正小标宋_GBK" w:cs="方正小标宋_GBK"/>
          <w:b/>
          <w:sz w:val="32"/>
          <w:szCs w:val="24"/>
        </w:rPr>
      </w:pPr>
      <w:r>
        <w:rPr>
          <w:rFonts w:hint="eastAsia" w:ascii="方正小标宋_GBK" w:hAnsi="方正小标宋_GBK" w:eastAsia="方正小标宋_GBK" w:cs="方正小标宋_GBK"/>
          <w:b/>
          <w:sz w:val="32"/>
          <w:szCs w:val="24"/>
        </w:rPr>
        <w:t>部门机构设置情况</w:t>
      </w:r>
    </w:p>
    <w:tbl>
      <w:tblPr>
        <w:tblStyle w:val="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both"/>
              <w:rPr>
                <w:rFonts w:hint="eastAsia" w:ascii="楷体" w:hAnsi="楷体" w:eastAsia="楷体" w:cs="楷体"/>
                <w:b/>
                <w:szCs w:val="24"/>
              </w:rPr>
            </w:pPr>
            <w:r>
              <w:rPr>
                <w:rFonts w:hint="eastAsia" w:ascii="楷体" w:hAnsi="楷体" w:eastAsia="楷体" w:cs="楷体"/>
                <w:b w:val="0"/>
                <w:bCs/>
                <w:sz w:val="32"/>
                <w:szCs w:val="32"/>
              </w:rPr>
              <w:t>单位名称</w:t>
            </w:r>
          </w:p>
        </w:tc>
        <w:tc>
          <w:tcPr>
            <w:tcW w:w="1134" w:type="dxa"/>
            <w:vMerge w:val="restart"/>
            <w:shd w:val="clear" w:color="auto" w:fill="auto"/>
            <w:vAlign w:val="center"/>
          </w:tcPr>
          <w:p>
            <w:pPr>
              <w:spacing w:line="584" w:lineRule="exact"/>
              <w:jc w:val="both"/>
              <w:rPr>
                <w:rFonts w:hint="eastAsia" w:ascii="楷体" w:hAnsi="楷体" w:eastAsia="楷体" w:cs="楷体"/>
                <w:b/>
                <w:szCs w:val="24"/>
              </w:rPr>
            </w:pPr>
            <w:r>
              <w:rPr>
                <w:rFonts w:hint="eastAsia" w:ascii="楷体" w:hAnsi="楷体" w:eastAsia="楷体" w:cs="楷体"/>
                <w:b w:val="0"/>
                <w:bCs/>
                <w:sz w:val="32"/>
                <w:szCs w:val="32"/>
              </w:rPr>
              <w:t>单位性质</w:t>
            </w:r>
          </w:p>
        </w:tc>
        <w:tc>
          <w:tcPr>
            <w:tcW w:w="1276" w:type="dxa"/>
            <w:vMerge w:val="restart"/>
            <w:shd w:val="clear" w:color="auto" w:fill="auto"/>
            <w:vAlign w:val="center"/>
          </w:tcPr>
          <w:p>
            <w:pPr>
              <w:spacing w:line="584" w:lineRule="exact"/>
              <w:jc w:val="both"/>
              <w:rPr>
                <w:rFonts w:hint="eastAsia" w:ascii="楷体" w:hAnsi="楷体" w:eastAsia="楷体" w:cs="楷体"/>
                <w:b/>
                <w:szCs w:val="24"/>
              </w:rPr>
            </w:pPr>
            <w:r>
              <w:rPr>
                <w:rFonts w:hint="eastAsia" w:ascii="楷体" w:hAnsi="楷体" w:eastAsia="楷体" w:cs="楷体"/>
                <w:b w:val="0"/>
                <w:bCs/>
                <w:sz w:val="32"/>
                <w:szCs w:val="32"/>
              </w:rPr>
              <w:t>单位规格</w:t>
            </w:r>
          </w:p>
        </w:tc>
        <w:tc>
          <w:tcPr>
            <w:tcW w:w="2902" w:type="dxa"/>
            <w:vMerge w:val="restart"/>
            <w:shd w:val="clear" w:color="auto" w:fill="auto"/>
            <w:vAlign w:val="center"/>
          </w:tcPr>
          <w:p>
            <w:pPr>
              <w:spacing w:line="584" w:lineRule="exact"/>
              <w:jc w:val="both"/>
              <w:rPr>
                <w:rFonts w:hint="eastAsia" w:ascii="楷体" w:hAnsi="楷体" w:eastAsia="楷体" w:cs="楷体"/>
                <w:b/>
                <w:szCs w:val="24"/>
              </w:rPr>
            </w:pPr>
            <w:r>
              <w:rPr>
                <w:rFonts w:hint="eastAsia" w:ascii="楷体" w:hAnsi="楷体" w:eastAsia="楷体" w:cs="楷体"/>
                <w:b w:val="0"/>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hint="eastAsia" w:ascii="楷体" w:hAnsi="楷体" w:eastAsia="楷体" w:cs="楷体"/>
                <w:szCs w:val="24"/>
              </w:rPr>
            </w:pPr>
          </w:p>
        </w:tc>
        <w:tc>
          <w:tcPr>
            <w:tcW w:w="1134" w:type="dxa"/>
            <w:vMerge w:val="continue"/>
            <w:shd w:val="clear" w:color="auto" w:fill="auto"/>
            <w:vAlign w:val="center"/>
          </w:tcPr>
          <w:p>
            <w:pPr>
              <w:spacing w:line="584" w:lineRule="exact"/>
              <w:jc w:val="left"/>
              <w:outlineLvl w:val="0"/>
              <w:rPr>
                <w:rFonts w:hint="eastAsia" w:ascii="楷体" w:hAnsi="楷体" w:eastAsia="楷体" w:cs="楷体"/>
                <w:szCs w:val="24"/>
              </w:rPr>
            </w:pPr>
          </w:p>
        </w:tc>
        <w:tc>
          <w:tcPr>
            <w:tcW w:w="1276" w:type="dxa"/>
            <w:vMerge w:val="continue"/>
            <w:shd w:val="clear" w:color="auto" w:fill="auto"/>
            <w:vAlign w:val="center"/>
          </w:tcPr>
          <w:p>
            <w:pPr>
              <w:spacing w:line="584" w:lineRule="exact"/>
              <w:jc w:val="left"/>
              <w:outlineLvl w:val="0"/>
              <w:rPr>
                <w:rFonts w:hint="eastAsia" w:ascii="楷体" w:hAnsi="楷体" w:eastAsia="楷体" w:cs="楷体"/>
                <w:szCs w:val="24"/>
              </w:rPr>
            </w:pPr>
          </w:p>
        </w:tc>
        <w:tc>
          <w:tcPr>
            <w:tcW w:w="2902" w:type="dxa"/>
            <w:vMerge w:val="continue"/>
            <w:shd w:val="clear" w:color="auto" w:fill="auto"/>
            <w:vAlign w:val="center"/>
          </w:tcPr>
          <w:p>
            <w:pPr>
              <w:spacing w:line="584" w:lineRule="exact"/>
              <w:jc w:val="left"/>
              <w:outlineLvl w:val="0"/>
              <w:rPr>
                <w:rFonts w:hint="eastAsia" w:ascii="楷体" w:hAnsi="楷体" w:eastAsia="楷体" w:cs="楷体"/>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both"/>
              <w:rPr>
                <w:rFonts w:hint="eastAsia" w:ascii="楷体" w:hAnsi="楷体" w:eastAsia="楷体" w:cs="楷体"/>
                <w:b/>
              </w:rPr>
            </w:pPr>
            <w:r>
              <w:rPr>
                <w:rFonts w:hint="eastAsia" w:ascii="楷体" w:hAnsi="楷体" w:eastAsia="楷体" w:cs="楷体"/>
                <w:b w:val="0"/>
                <w:bCs/>
                <w:sz w:val="32"/>
                <w:szCs w:val="32"/>
                <w:lang w:val="en-US" w:eastAsia="zh-CN"/>
              </w:rPr>
              <w:t>香河县司法局</w:t>
            </w:r>
          </w:p>
        </w:tc>
        <w:tc>
          <w:tcPr>
            <w:tcW w:w="1134" w:type="dxa"/>
            <w:shd w:val="clear" w:color="auto" w:fill="auto"/>
            <w:vAlign w:val="center"/>
          </w:tcPr>
          <w:p>
            <w:pPr>
              <w:spacing w:line="584" w:lineRule="exact"/>
              <w:jc w:val="both"/>
              <w:rPr>
                <w:rFonts w:hint="eastAsia" w:ascii="楷体" w:hAnsi="楷体" w:eastAsia="楷体" w:cs="楷体"/>
                <w:b/>
              </w:rPr>
            </w:pPr>
            <w:r>
              <w:rPr>
                <w:rFonts w:hint="eastAsia" w:ascii="楷体" w:hAnsi="楷体" w:eastAsia="楷体" w:cs="楷体"/>
                <w:b w:val="0"/>
                <w:bCs/>
                <w:sz w:val="32"/>
                <w:szCs w:val="32"/>
                <w:lang w:val="en-US" w:eastAsia="zh-CN"/>
              </w:rPr>
              <w:t>行政</w:t>
            </w:r>
          </w:p>
        </w:tc>
        <w:tc>
          <w:tcPr>
            <w:tcW w:w="1276" w:type="dxa"/>
            <w:shd w:val="clear" w:color="auto" w:fill="auto"/>
            <w:vAlign w:val="center"/>
          </w:tcPr>
          <w:p>
            <w:pPr>
              <w:spacing w:line="584" w:lineRule="exact"/>
              <w:jc w:val="both"/>
              <w:rPr>
                <w:rFonts w:hint="eastAsia" w:ascii="楷体" w:hAnsi="楷体" w:eastAsia="楷体" w:cs="楷体"/>
                <w:b/>
              </w:rPr>
            </w:pPr>
            <w:r>
              <w:rPr>
                <w:rFonts w:hint="eastAsia" w:ascii="楷体" w:hAnsi="楷体" w:eastAsia="楷体" w:cs="楷体"/>
                <w:b w:val="0"/>
                <w:bCs/>
                <w:sz w:val="32"/>
                <w:szCs w:val="32"/>
                <w:lang w:val="en-US" w:eastAsia="zh-CN"/>
              </w:rPr>
              <w:t>正科级</w:t>
            </w:r>
          </w:p>
        </w:tc>
        <w:tc>
          <w:tcPr>
            <w:tcW w:w="2902" w:type="dxa"/>
            <w:shd w:val="clear" w:color="auto" w:fill="auto"/>
            <w:vAlign w:val="center"/>
          </w:tcPr>
          <w:p>
            <w:pPr>
              <w:spacing w:line="584" w:lineRule="exact"/>
              <w:jc w:val="both"/>
              <w:rPr>
                <w:rFonts w:hint="eastAsia" w:ascii="楷体" w:hAnsi="楷体" w:eastAsia="楷体" w:cs="楷体"/>
                <w:b/>
              </w:rPr>
            </w:pPr>
            <w:r>
              <w:rPr>
                <w:rFonts w:hint="eastAsia" w:ascii="楷体" w:hAnsi="楷体" w:eastAsia="楷体" w:cs="楷体"/>
                <w:b w:val="0"/>
                <w:bCs/>
                <w:sz w:val="32"/>
                <w:szCs w:val="32"/>
                <w:lang w:val="en-US" w:eastAsia="zh-CN"/>
              </w:rPr>
              <w:t>财政拨款（行政）</w:t>
            </w:r>
          </w:p>
        </w:tc>
      </w:tr>
    </w:tbl>
    <w:p>
      <w:pPr>
        <w:spacing w:line="58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二、部门预算安排的总体情况</w:t>
      </w:r>
    </w:p>
    <w:p>
      <w:pPr>
        <w:spacing w:line="584" w:lineRule="exact"/>
        <w:ind w:firstLine="640" w:firstLineChars="200"/>
        <w:rPr>
          <w:rFonts w:hint="eastAsia" w:ascii="楷体" w:hAnsi="楷体" w:eastAsia="楷体" w:cs="楷体"/>
          <w:color w:val="FF0000"/>
          <w:sz w:val="32"/>
          <w:szCs w:val="32"/>
        </w:rPr>
      </w:pPr>
      <w:r>
        <w:rPr>
          <w:rFonts w:hint="eastAsia" w:ascii="楷体" w:hAnsi="楷体" w:eastAsia="楷体" w:cs="楷体"/>
          <w:sz w:val="32"/>
          <w:szCs w:val="32"/>
        </w:rPr>
        <w:t>按照预算管理有关规定，目前我县部门预算的编制实行综合预算制度，即全部收入和支出都反映在预算中。香河县</w:t>
      </w:r>
      <w:r>
        <w:rPr>
          <w:rFonts w:hint="eastAsia" w:ascii="楷体" w:hAnsi="楷体" w:eastAsia="楷体" w:cs="楷体"/>
          <w:sz w:val="32"/>
          <w:szCs w:val="32"/>
          <w:lang w:val="en-US" w:eastAsia="zh-CN"/>
        </w:rPr>
        <w:t>司法局</w:t>
      </w:r>
      <w:r>
        <w:rPr>
          <w:rFonts w:hint="eastAsia" w:ascii="楷体" w:hAnsi="楷体" w:eastAsia="楷体" w:cs="楷体"/>
          <w:sz w:val="32"/>
          <w:szCs w:val="32"/>
        </w:rPr>
        <w:t>机关</w:t>
      </w:r>
      <w:r>
        <w:rPr>
          <w:rFonts w:hint="eastAsia" w:ascii="楷体" w:hAnsi="楷体" w:eastAsia="楷体" w:cs="楷体"/>
          <w:color w:val="000000" w:themeColor="text1"/>
          <w:sz w:val="32"/>
          <w:szCs w:val="32"/>
          <w:highlight w:val="none"/>
        </w:rPr>
        <w:t>及所属事业单位</w:t>
      </w:r>
      <w:r>
        <w:rPr>
          <w:rFonts w:hint="eastAsia" w:ascii="楷体" w:hAnsi="楷体" w:eastAsia="楷体" w:cs="楷体"/>
          <w:sz w:val="32"/>
          <w:szCs w:val="32"/>
        </w:rPr>
        <w:t>的收支包含在部门预算中。</w:t>
      </w:r>
    </w:p>
    <w:p>
      <w:pPr>
        <w:spacing w:line="584" w:lineRule="exact"/>
        <w:ind w:firstLine="640"/>
        <w:rPr>
          <w:rFonts w:hint="eastAsia" w:ascii="仿宋" w:hAnsi="仿宋" w:eastAsia="仿宋" w:cs="仿宋"/>
          <w:b/>
          <w:sz w:val="32"/>
          <w:szCs w:val="32"/>
        </w:rPr>
      </w:pPr>
      <w:r>
        <w:rPr>
          <w:rFonts w:hint="eastAsia" w:ascii="仿宋" w:hAnsi="仿宋" w:eastAsia="仿宋" w:cs="仿宋"/>
          <w:b/>
          <w:sz w:val="32"/>
          <w:szCs w:val="32"/>
        </w:rPr>
        <w:t>1、收入说明</w:t>
      </w:r>
    </w:p>
    <w:p>
      <w:pPr>
        <w:spacing w:line="584" w:lineRule="exact"/>
        <w:ind w:firstLine="640"/>
        <w:rPr>
          <w:rFonts w:hint="eastAsia" w:ascii="楷体" w:hAnsi="楷体" w:eastAsia="楷体" w:cs="楷体"/>
          <w:sz w:val="32"/>
          <w:szCs w:val="32"/>
        </w:rPr>
      </w:pPr>
      <w:r>
        <w:rPr>
          <w:rFonts w:hint="eastAsia" w:ascii="楷体" w:hAnsi="楷体" w:eastAsia="楷体" w:cs="楷体"/>
          <w:sz w:val="32"/>
          <w:szCs w:val="32"/>
        </w:rPr>
        <w:t>反映本部门当年全部收入。2023年预算收入</w:t>
      </w:r>
      <w:r>
        <w:rPr>
          <w:rFonts w:hint="eastAsia" w:ascii="楷体" w:hAnsi="楷体" w:eastAsia="楷体" w:cs="楷体"/>
          <w:sz w:val="32"/>
          <w:szCs w:val="32"/>
          <w:lang w:val="en-US" w:eastAsia="zh-CN"/>
        </w:rPr>
        <w:t>1494.23</w:t>
      </w:r>
      <w:r>
        <w:rPr>
          <w:rFonts w:hint="eastAsia" w:ascii="楷体" w:hAnsi="楷体" w:eastAsia="楷体" w:cs="楷体"/>
          <w:sz w:val="32"/>
          <w:szCs w:val="32"/>
        </w:rPr>
        <w:t>万元，其中：一般公共预算收入</w:t>
      </w:r>
      <w:r>
        <w:rPr>
          <w:rFonts w:hint="eastAsia" w:ascii="楷体" w:hAnsi="楷体" w:eastAsia="楷体" w:cs="楷体"/>
          <w:sz w:val="32"/>
          <w:szCs w:val="32"/>
          <w:lang w:val="en-US" w:eastAsia="zh-CN"/>
        </w:rPr>
        <w:t>1450.87</w:t>
      </w:r>
      <w:r>
        <w:rPr>
          <w:rFonts w:hint="eastAsia" w:ascii="楷体" w:hAnsi="楷体" w:eastAsia="楷体" w:cs="楷体"/>
          <w:sz w:val="32"/>
          <w:szCs w:val="32"/>
        </w:rPr>
        <w:t>万元，基金预算收入</w:t>
      </w:r>
      <w:r>
        <w:rPr>
          <w:rFonts w:hint="eastAsia" w:ascii="楷体" w:hAnsi="楷体" w:eastAsia="楷体" w:cs="楷体"/>
          <w:sz w:val="32"/>
          <w:szCs w:val="32"/>
          <w:lang w:val="en-US" w:eastAsia="zh-CN"/>
        </w:rPr>
        <w:t>0</w:t>
      </w:r>
      <w:r>
        <w:rPr>
          <w:rFonts w:hint="eastAsia" w:ascii="楷体" w:hAnsi="楷体" w:eastAsia="楷体" w:cs="楷体"/>
          <w:sz w:val="32"/>
          <w:szCs w:val="32"/>
        </w:rPr>
        <w:t>万元，财政专户核拨收入</w:t>
      </w:r>
      <w:r>
        <w:rPr>
          <w:rFonts w:hint="eastAsia" w:ascii="楷体" w:hAnsi="楷体" w:eastAsia="楷体" w:cs="楷体"/>
          <w:sz w:val="32"/>
          <w:szCs w:val="32"/>
          <w:lang w:val="en-US" w:eastAsia="zh-CN"/>
        </w:rPr>
        <w:t>0</w:t>
      </w:r>
      <w:r>
        <w:rPr>
          <w:rFonts w:hint="eastAsia" w:ascii="楷体" w:hAnsi="楷体" w:eastAsia="楷体" w:cs="楷体"/>
          <w:sz w:val="32"/>
          <w:szCs w:val="32"/>
        </w:rPr>
        <w:t>万元，其他来源收入</w:t>
      </w:r>
      <w:r>
        <w:rPr>
          <w:rFonts w:hint="eastAsia" w:ascii="楷体" w:hAnsi="楷体" w:eastAsia="楷体" w:cs="楷体"/>
          <w:sz w:val="32"/>
          <w:szCs w:val="32"/>
          <w:lang w:val="en-US" w:eastAsia="zh-CN"/>
        </w:rPr>
        <w:t>0</w:t>
      </w:r>
      <w:r>
        <w:rPr>
          <w:rFonts w:hint="eastAsia" w:ascii="楷体" w:hAnsi="楷体" w:eastAsia="楷体" w:cs="楷体"/>
          <w:sz w:val="32"/>
          <w:szCs w:val="32"/>
        </w:rPr>
        <w:t>万元，上年结转</w:t>
      </w:r>
      <w:r>
        <w:rPr>
          <w:rFonts w:hint="eastAsia" w:ascii="楷体" w:hAnsi="楷体" w:eastAsia="楷体" w:cs="楷体"/>
          <w:sz w:val="32"/>
          <w:szCs w:val="32"/>
          <w:lang w:val="en-US" w:eastAsia="zh-CN"/>
        </w:rPr>
        <w:t>43.36</w:t>
      </w:r>
      <w:r>
        <w:rPr>
          <w:rFonts w:hint="eastAsia" w:ascii="楷体" w:hAnsi="楷体" w:eastAsia="楷体" w:cs="楷体"/>
          <w:sz w:val="32"/>
          <w:szCs w:val="32"/>
        </w:rPr>
        <w:t>万元。</w:t>
      </w:r>
    </w:p>
    <w:p>
      <w:pPr>
        <w:spacing w:line="584" w:lineRule="exact"/>
        <w:ind w:firstLine="640"/>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2、支出说明</w:t>
      </w:r>
    </w:p>
    <w:p>
      <w:pPr>
        <w:spacing w:line="584" w:lineRule="exact"/>
        <w:ind w:firstLine="640"/>
        <w:jc w:val="both"/>
        <w:rPr>
          <w:rFonts w:hint="eastAsia" w:ascii="楷体" w:hAnsi="楷体" w:eastAsia="楷体" w:cs="楷体"/>
          <w:sz w:val="32"/>
          <w:szCs w:val="32"/>
        </w:rPr>
      </w:pPr>
      <w:r>
        <w:rPr>
          <w:rFonts w:hint="eastAsia" w:ascii="楷体" w:hAnsi="楷体" w:eastAsia="楷体" w:cs="楷体"/>
          <w:sz w:val="32"/>
          <w:szCs w:val="32"/>
        </w:rPr>
        <w:t>收支预算总表支出栏、基本支出表、项目支出表按经济分类和支出功能分类科目编制，反映香河县</w:t>
      </w:r>
      <w:r>
        <w:rPr>
          <w:rFonts w:hint="eastAsia" w:ascii="楷体" w:hAnsi="楷体" w:eastAsia="楷体" w:cs="楷体"/>
          <w:sz w:val="32"/>
          <w:szCs w:val="32"/>
          <w:lang w:val="en-US" w:eastAsia="zh-CN"/>
        </w:rPr>
        <w:t>2023</w:t>
      </w:r>
      <w:r>
        <w:rPr>
          <w:rFonts w:hint="eastAsia" w:ascii="楷体" w:hAnsi="楷体" w:eastAsia="楷体" w:cs="楷体"/>
          <w:sz w:val="32"/>
          <w:szCs w:val="32"/>
        </w:rPr>
        <w:t>年度部门预算中支出预算的总体情况。2023年支出预算</w:t>
      </w:r>
      <w:r>
        <w:rPr>
          <w:rFonts w:hint="eastAsia" w:ascii="楷体" w:hAnsi="楷体" w:eastAsia="楷体" w:cs="楷体"/>
          <w:sz w:val="32"/>
          <w:szCs w:val="32"/>
          <w:lang w:val="en-US" w:eastAsia="zh-CN"/>
        </w:rPr>
        <w:t>1494.23</w:t>
      </w:r>
      <w:r>
        <w:rPr>
          <w:rFonts w:hint="eastAsia" w:ascii="楷体" w:hAnsi="楷体" w:eastAsia="楷体" w:cs="楷体"/>
          <w:sz w:val="32"/>
          <w:szCs w:val="32"/>
        </w:rPr>
        <w:t>万元，其中基本支出</w:t>
      </w:r>
      <w:r>
        <w:rPr>
          <w:rFonts w:hint="eastAsia" w:ascii="楷体" w:hAnsi="楷体" w:eastAsia="楷体" w:cs="楷体"/>
          <w:sz w:val="32"/>
          <w:szCs w:val="32"/>
          <w:lang w:val="en-US" w:eastAsia="zh-CN"/>
        </w:rPr>
        <w:t>1250.9</w:t>
      </w:r>
      <w:r>
        <w:rPr>
          <w:rFonts w:hint="eastAsia" w:ascii="楷体" w:hAnsi="楷体" w:eastAsia="楷体" w:cs="楷体"/>
          <w:sz w:val="32"/>
          <w:szCs w:val="32"/>
        </w:rPr>
        <w:t>万元，包括人员类项目经费</w:t>
      </w:r>
      <w:r>
        <w:rPr>
          <w:rFonts w:hint="eastAsia" w:ascii="楷体" w:hAnsi="楷体" w:eastAsia="楷体" w:cs="楷体"/>
          <w:sz w:val="32"/>
          <w:szCs w:val="32"/>
          <w:lang w:val="en-US" w:eastAsia="zh-CN"/>
        </w:rPr>
        <w:t>1145.96</w:t>
      </w:r>
      <w:r>
        <w:rPr>
          <w:rFonts w:hint="eastAsia" w:ascii="楷体" w:hAnsi="楷体" w:eastAsia="楷体" w:cs="楷体"/>
          <w:sz w:val="32"/>
          <w:szCs w:val="32"/>
        </w:rPr>
        <w:t>万元和运转类公用项目经费</w:t>
      </w:r>
      <w:r>
        <w:rPr>
          <w:rFonts w:hint="eastAsia" w:ascii="楷体" w:hAnsi="楷体" w:eastAsia="楷体" w:cs="楷体"/>
          <w:sz w:val="32"/>
          <w:szCs w:val="32"/>
          <w:lang w:val="en-US" w:eastAsia="zh-CN"/>
        </w:rPr>
        <w:t>104.94</w:t>
      </w:r>
      <w:r>
        <w:rPr>
          <w:rFonts w:hint="eastAsia" w:ascii="楷体" w:hAnsi="楷体" w:eastAsia="楷体" w:cs="楷体"/>
          <w:sz w:val="32"/>
          <w:szCs w:val="32"/>
        </w:rPr>
        <w:t>万元；运转类其他及特定目标类项目支出</w:t>
      </w:r>
      <w:r>
        <w:rPr>
          <w:rFonts w:hint="eastAsia" w:ascii="楷体" w:hAnsi="楷体" w:eastAsia="楷体" w:cs="楷体"/>
          <w:sz w:val="32"/>
          <w:szCs w:val="32"/>
          <w:lang w:val="en-US" w:eastAsia="zh-CN"/>
        </w:rPr>
        <w:t>243.33</w:t>
      </w:r>
      <w:r>
        <w:rPr>
          <w:rFonts w:hint="eastAsia" w:ascii="楷体" w:hAnsi="楷体" w:eastAsia="楷体" w:cs="楷体"/>
          <w:sz w:val="32"/>
          <w:szCs w:val="32"/>
        </w:rPr>
        <w:t>万元，包括本级支出，主要为</w:t>
      </w:r>
      <w:r>
        <w:rPr>
          <w:rFonts w:hint="eastAsia" w:ascii="楷体" w:hAnsi="楷体" w:eastAsia="楷体" w:cs="楷体"/>
          <w:sz w:val="32"/>
          <w:szCs w:val="32"/>
          <w:lang w:val="en-US" w:eastAsia="zh-CN"/>
        </w:rPr>
        <w:t>基层司法业务</w:t>
      </w:r>
      <w:r>
        <w:rPr>
          <w:rFonts w:hint="eastAsia" w:ascii="楷体" w:hAnsi="楷体" w:eastAsia="楷体" w:cs="楷体"/>
          <w:sz w:val="32"/>
          <w:szCs w:val="32"/>
        </w:rPr>
        <w:t>、</w:t>
      </w:r>
      <w:r>
        <w:rPr>
          <w:rFonts w:hint="eastAsia" w:ascii="楷体" w:hAnsi="楷体" w:eastAsia="楷体" w:cs="楷体"/>
          <w:sz w:val="32"/>
          <w:szCs w:val="32"/>
          <w:lang w:val="en-US" w:eastAsia="zh-CN"/>
        </w:rPr>
        <w:t>普法宣传</w:t>
      </w:r>
      <w:r>
        <w:rPr>
          <w:rFonts w:hint="eastAsia" w:ascii="楷体" w:hAnsi="楷体" w:eastAsia="楷体" w:cs="楷体"/>
          <w:sz w:val="32"/>
          <w:szCs w:val="32"/>
        </w:rPr>
        <w:t>、</w:t>
      </w:r>
      <w:r>
        <w:rPr>
          <w:rFonts w:hint="eastAsia" w:ascii="楷体" w:hAnsi="楷体" w:eastAsia="楷体" w:cs="楷体"/>
          <w:sz w:val="32"/>
          <w:szCs w:val="32"/>
          <w:lang w:val="en-US" w:eastAsia="zh-CN"/>
        </w:rPr>
        <w:t>其他司法支出</w:t>
      </w:r>
      <w:r>
        <w:rPr>
          <w:rFonts w:hint="eastAsia" w:ascii="楷体" w:hAnsi="楷体" w:eastAsia="楷体" w:cs="楷体"/>
          <w:sz w:val="32"/>
          <w:szCs w:val="32"/>
        </w:rPr>
        <w:t>等</w:t>
      </w:r>
      <w:r>
        <w:rPr>
          <w:rFonts w:hint="eastAsia" w:ascii="楷体" w:hAnsi="楷体" w:eastAsia="楷体" w:cs="楷体"/>
          <w:sz w:val="32"/>
          <w:szCs w:val="32"/>
          <w:lang w:eastAsia="zh-CN"/>
        </w:rPr>
        <w:t>。</w:t>
      </w:r>
    </w:p>
    <w:p>
      <w:pPr>
        <w:spacing w:line="584" w:lineRule="exact"/>
        <w:ind w:firstLine="640"/>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3、比上年增减情况</w:t>
      </w:r>
    </w:p>
    <w:p>
      <w:pPr>
        <w:spacing w:line="584" w:lineRule="exact"/>
        <w:ind w:firstLine="640"/>
        <w:rPr>
          <w:rFonts w:hint="eastAsia" w:ascii="楷体" w:hAnsi="楷体" w:eastAsia="楷体" w:cs="楷体"/>
          <w:sz w:val="32"/>
          <w:szCs w:val="32"/>
        </w:rPr>
      </w:pPr>
      <w:r>
        <w:rPr>
          <w:rFonts w:hint="eastAsia" w:ascii="楷体" w:hAnsi="楷体" w:eastAsia="楷体" w:cs="楷体"/>
          <w:sz w:val="32"/>
          <w:szCs w:val="32"/>
        </w:rPr>
        <w:t>2023年预算收支安排</w:t>
      </w:r>
      <w:r>
        <w:rPr>
          <w:rFonts w:hint="eastAsia" w:ascii="楷体" w:hAnsi="楷体" w:eastAsia="楷体" w:cs="楷体"/>
          <w:sz w:val="32"/>
          <w:szCs w:val="32"/>
          <w:lang w:val="en-US" w:eastAsia="zh-CN"/>
        </w:rPr>
        <w:t>1494.23</w:t>
      </w:r>
      <w:r>
        <w:rPr>
          <w:rFonts w:hint="eastAsia" w:ascii="楷体" w:hAnsi="楷体" w:eastAsia="楷体" w:cs="楷体"/>
          <w:sz w:val="32"/>
          <w:szCs w:val="32"/>
        </w:rPr>
        <w:t>万元，较2022年预算增加</w:t>
      </w:r>
      <w:r>
        <w:rPr>
          <w:rFonts w:hint="eastAsia" w:ascii="楷体" w:hAnsi="楷体" w:eastAsia="楷体" w:cs="楷体"/>
          <w:sz w:val="32"/>
          <w:szCs w:val="32"/>
          <w:lang w:val="en-US" w:eastAsia="zh-CN"/>
        </w:rPr>
        <w:t>207.23</w:t>
      </w:r>
      <w:r>
        <w:rPr>
          <w:rFonts w:hint="eastAsia" w:ascii="楷体" w:hAnsi="楷体" w:eastAsia="楷体" w:cs="楷体"/>
          <w:sz w:val="32"/>
          <w:szCs w:val="32"/>
        </w:rPr>
        <w:t>万元，其中：基本支出增加</w:t>
      </w:r>
      <w:r>
        <w:rPr>
          <w:rFonts w:hint="eastAsia" w:ascii="楷体" w:hAnsi="楷体" w:eastAsia="楷体" w:cs="楷体"/>
          <w:sz w:val="32"/>
          <w:szCs w:val="32"/>
          <w:lang w:val="en-US" w:eastAsia="zh-CN"/>
        </w:rPr>
        <w:t>290.84</w:t>
      </w:r>
      <w:r>
        <w:rPr>
          <w:rFonts w:hint="eastAsia" w:ascii="楷体" w:hAnsi="楷体" w:eastAsia="楷体" w:cs="楷体"/>
          <w:sz w:val="32"/>
          <w:szCs w:val="32"/>
        </w:rPr>
        <w:t>万元，主要为</w:t>
      </w:r>
      <w:r>
        <w:rPr>
          <w:rFonts w:hint="eastAsia" w:ascii="楷体" w:hAnsi="楷体" w:eastAsia="楷体" w:cs="楷体"/>
          <w:sz w:val="32"/>
          <w:szCs w:val="32"/>
          <w:lang w:val="en-US" w:eastAsia="zh-CN"/>
        </w:rPr>
        <w:t>人员经费</w:t>
      </w:r>
      <w:r>
        <w:rPr>
          <w:rFonts w:hint="eastAsia" w:ascii="楷体" w:hAnsi="楷体" w:eastAsia="楷体" w:cs="楷体"/>
          <w:sz w:val="32"/>
          <w:szCs w:val="32"/>
        </w:rPr>
        <w:t>支出；项目支出</w:t>
      </w:r>
      <w:r>
        <w:rPr>
          <w:rFonts w:hint="eastAsia" w:ascii="楷体" w:hAnsi="楷体" w:eastAsia="楷体" w:cs="楷体"/>
          <w:sz w:val="32"/>
          <w:szCs w:val="32"/>
          <w:highlight w:val="none"/>
        </w:rPr>
        <w:t>减少</w:t>
      </w:r>
      <w:r>
        <w:rPr>
          <w:rFonts w:hint="eastAsia" w:ascii="楷体" w:hAnsi="楷体" w:eastAsia="楷体" w:cs="楷体"/>
          <w:sz w:val="32"/>
          <w:szCs w:val="32"/>
          <w:highlight w:val="none"/>
          <w:lang w:val="en-US" w:eastAsia="zh-CN"/>
        </w:rPr>
        <w:t>79.01</w:t>
      </w:r>
      <w:r>
        <w:rPr>
          <w:rFonts w:hint="eastAsia" w:ascii="楷体" w:hAnsi="楷体" w:eastAsia="楷体" w:cs="楷体"/>
          <w:sz w:val="32"/>
          <w:szCs w:val="32"/>
        </w:rPr>
        <w:t>万元，主要为</w:t>
      </w:r>
      <w:r>
        <w:rPr>
          <w:rFonts w:hint="eastAsia" w:ascii="楷体" w:hAnsi="楷体" w:eastAsia="楷体" w:cs="楷体"/>
          <w:sz w:val="32"/>
          <w:szCs w:val="32"/>
          <w:lang w:val="en-US" w:eastAsia="zh-CN"/>
        </w:rPr>
        <w:t>其他司法</w:t>
      </w:r>
      <w:r>
        <w:rPr>
          <w:rFonts w:hint="eastAsia" w:ascii="楷体" w:hAnsi="楷体" w:eastAsia="楷体" w:cs="楷体"/>
          <w:sz w:val="32"/>
          <w:szCs w:val="32"/>
        </w:rPr>
        <w:t>项目支出。</w:t>
      </w:r>
    </w:p>
    <w:p>
      <w:pPr>
        <w:autoSpaceDE w:val="0"/>
        <w:autoSpaceDN w:val="0"/>
        <w:adjustRightInd w:val="0"/>
        <w:spacing w:line="584" w:lineRule="exact"/>
        <w:ind w:left="198" w:firstLine="640" w:firstLineChars="200"/>
        <w:jc w:val="left"/>
        <w:rPr>
          <w:rFonts w:hint="eastAsia"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spacing w:line="584" w:lineRule="exact"/>
        <w:ind w:left="198" w:firstLine="640" w:firstLineChars="200"/>
        <w:jc w:val="left"/>
        <w:rPr>
          <w:rFonts w:hint="eastAsia" w:ascii="楷体" w:hAnsi="楷体" w:eastAsia="楷体" w:cs="楷体"/>
          <w:sz w:val="32"/>
          <w:szCs w:val="32"/>
        </w:rPr>
      </w:pPr>
      <w:r>
        <w:rPr>
          <w:rFonts w:hint="eastAsia" w:ascii="楷体" w:hAnsi="楷体" w:eastAsia="楷体" w:cs="楷体"/>
          <w:sz w:val="32"/>
          <w:szCs w:val="32"/>
        </w:rPr>
        <w:t>2023年，我局机关运行经费共计安排</w:t>
      </w:r>
      <w:r>
        <w:rPr>
          <w:rFonts w:hint="eastAsia" w:ascii="楷体" w:hAnsi="楷体" w:eastAsia="楷体" w:cs="楷体"/>
          <w:sz w:val="32"/>
          <w:szCs w:val="32"/>
          <w:lang w:val="en-US" w:eastAsia="zh-CN"/>
        </w:rPr>
        <w:t>104.94</w:t>
      </w:r>
      <w:r>
        <w:rPr>
          <w:rFonts w:hint="eastAsia" w:ascii="楷体" w:hAnsi="楷体" w:eastAsia="楷体" w:cs="楷体"/>
          <w:sz w:val="32"/>
          <w:szCs w:val="32"/>
        </w:rPr>
        <w:t>万元，主要用于</w:t>
      </w:r>
      <w:r>
        <w:rPr>
          <w:rFonts w:hint="eastAsia" w:ascii="楷体" w:hAnsi="楷体" w:eastAsia="楷体" w:cs="楷体"/>
          <w:sz w:val="32"/>
          <w:szCs w:val="32"/>
          <w:lang w:val="en-US" w:eastAsia="zh-CN"/>
        </w:rPr>
        <w:t>司法局</w:t>
      </w:r>
      <w:r>
        <w:rPr>
          <w:rFonts w:hint="eastAsia" w:ascii="楷体" w:hAnsi="楷体" w:eastAsia="楷体" w:cs="楷体"/>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207" w:leftChars="94" w:firstLine="640" w:firstLineChars="200"/>
        <w:jc w:val="left"/>
        <w:rPr>
          <w:rFonts w:hint="eastAsia" w:ascii="楷体" w:hAnsi="楷体" w:eastAsia="楷体" w:cs="楷体"/>
          <w:color w:val="FF0000"/>
          <w:sz w:val="32"/>
          <w:szCs w:val="32"/>
        </w:rPr>
      </w:pPr>
      <w:r>
        <w:rPr>
          <w:rFonts w:hint="eastAsia" w:ascii="楷体" w:hAnsi="楷体" w:eastAsia="楷体" w:cs="楷体"/>
          <w:sz w:val="32"/>
          <w:szCs w:val="32"/>
        </w:rPr>
        <w:t>2023年，我局财政拨款“三公”经费预算安排</w:t>
      </w:r>
      <w:r>
        <w:rPr>
          <w:rFonts w:hint="eastAsia" w:ascii="楷体" w:hAnsi="楷体" w:eastAsia="楷体" w:cs="楷体"/>
          <w:sz w:val="32"/>
          <w:szCs w:val="32"/>
          <w:lang w:val="en-US" w:eastAsia="zh-CN"/>
        </w:rPr>
        <w:t>20.86</w:t>
      </w:r>
      <w:r>
        <w:rPr>
          <w:rFonts w:hint="eastAsia" w:ascii="楷体" w:hAnsi="楷体" w:eastAsia="楷体" w:cs="楷体"/>
          <w:sz w:val="32"/>
          <w:szCs w:val="32"/>
        </w:rPr>
        <w:t>万元。其中，因公出国（境）费</w:t>
      </w:r>
      <w:r>
        <w:rPr>
          <w:rFonts w:hint="eastAsia" w:ascii="楷体" w:hAnsi="楷体" w:eastAsia="楷体" w:cs="楷体"/>
          <w:sz w:val="32"/>
          <w:szCs w:val="32"/>
          <w:lang w:val="en-US" w:eastAsia="zh-CN"/>
        </w:rPr>
        <w:t>0</w:t>
      </w:r>
      <w:r>
        <w:rPr>
          <w:rFonts w:hint="eastAsia" w:ascii="楷体" w:hAnsi="楷体" w:eastAsia="楷体" w:cs="楷体"/>
          <w:sz w:val="32"/>
          <w:szCs w:val="32"/>
        </w:rPr>
        <w:t>。万元；公务用车购置及运维费</w:t>
      </w:r>
      <w:r>
        <w:rPr>
          <w:rFonts w:hint="eastAsia" w:ascii="楷体" w:hAnsi="楷体" w:eastAsia="楷体" w:cs="楷体"/>
          <w:sz w:val="32"/>
          <w:szCs w:val="32"/>
          <w:lang w:val="en-US" w:eastAsia="zh-CN"/>
        </w:rPr>
        <w:t>16.68</w:t>
      </w:r>
      <w:r>
        <w:rPr>
          <w:rFonts w:hint="eastAsia" w:ascii="楷体" w:hAnsi="楷体" w:eastAsia="楷体" w:cs="楷体"/>
          <w:sz w:val="32"/>
          <w:szCs w:val="32"/>
        </w:rPr>
        <w:t>万元（其中：公务用车购置费为</w:t>
      </w:r>
      <w:r>
        <w:rPr>
          <w:rFonts w:hint="eastAsia" w:ascii="楷体" w:hAnsi="楷体" w:eastAsia="楷体" w:cs="楷体"/>
          <w:sz w:val="32"/>
          <w:szCs w:val="32"/>
          <w:lang w:val="en-US" w:eastAsia="zh-CN"/>
        </w:rPr>
        <w:t>0</w:t>
      </w:r>
      <w:r>
        <w:rPr>
          <w:rFonts w:hint="eastAsia" w:ascii="楷体" w:hAnsi="楷体" w:eastAsia="楷体" w:cs="楷体"/>
          <w:sz w:val="32"/>
          <w:szCs w:val="32"/>
        </w:rPr>
        <w:t>。万元，公务用车运维费</w:t>
      </w:r>
      <w:r>
        <w:rPr>
          <w:rFonts w:hint="eastAsia" w:ascii="楷体" w:hAnsi="楷体" w:eastAsia="楷体" w:cs="楷体"/>
          <w:sz w:val="32"/>
          <w:szCs w:val="32"/>
          <w:lang w:val="en-US" w:eastAsia="zh-CN"/>
        </w:rPr>
        <w:t>16.68</w:t>
      </w:r>
      <w:r>
        <w:rPr>
          <w:rFonts w:hint="eastAsia" w:ascii="楷体" w:hAnsi="楷体" w:eastAsia="楷体" w:cs="楷体"/>
          <w:sz w:val="32"/>
          <w:szCs w:val="32"/>
        </w:rPr>
        <w:t>万元)；公务接待费</w:t>
      </w:r>
      <w:r>
        <w:rPr>
          <w:rFonts w:hint="eastAsia" w:ascii="楷体" w:hAnsi="楷体" w:eastAsia="楷体" w:cs="楷体"/>
          <w:sz w:val="32"/>
          <w:szCs w:val="32"/>
          <w:lang w:val="en-US" w:eastAsia="zh-CN"/>
        </w:rPr>
        <w:t>0</w:t>
      </w:r>
      <w:r>
        <w:rPr>
          <w:rFonts w:hint="eastAsia" w:ascii="楷体" w:hAnsi="楷体" w:eastAsia="楷体" w:cs="楷体"/>
          <w:sz w:val="32"/>
          <w:szCs w:val="32"/>
        </w:rPr>
        <w:t>万元。与2022年相比</w:t>
      </w:r>
      <w:r>
        <w:rPr>
          <w:rFonts w:hint="eastAsia" w:ascii="楷体" w:hAnsi="楷体" w:eastAsia="楷体" w:cs="楷体"/>
          <w:sz w:val="32"/>
          <w:szCs w:val="32"/>
          <w:highlight w:val="none"/>
        </w:rPr>
        <w:t>增加</w:t>
      </w:r>
      <w:r>
        <w:rPr>
          <w:rFonts w:hint="eastAsia" w:ascii="楷体" w:hAnsi="楷体" w:eastAsia="楷体" w:cs="楷体"/>
          <w:sz w:val="32"/>
          <w:szCs w:val="32"/>
          <w:lang w:val="en-US" w:eastAsia="zh-CN"/>
        </w:rPr>
        <w:t>8.88</w:t>
      </w:r>
      <w:r>
        <w:rPr>
          <w:rFonts w:hint="eastAsia" w:ascii="楷体" w:hAnsi="楷体" w:eastAsia="楷体" w:cs="楷体"/>
          <w:sz w:val="32"/>
          <w:szCs w:val="32"/>
        </w:rPr>
        <w:t>万元，其中，公务用车购置及运维费</w:t>
      </w:r>
      <w:r>
        <w:rPr>
          <w:rFonts w:hint="eastAsia" w:ascii="楷体" w:hAnsi="楷体" w:eastAsia="楷体" w:cs="楷体"/>
          <w:sz w:val="32"/>
          <w:szCs w:val="32"/>
          <w:highlight w:val="none"/>
        </w:rPr>
        <w:t>增加</w:t>
      </w:r>
      <w:r>
        <w:rPr>
          <w:rFonts w:hint="eastAsia" w:ascii="楷体" w:hAnsi="楷体" w:eastAsia="楷体" w:cs="楷体"/>
          <w:sz w:val="32"/>
          <w:szCs w:val="32"/>
          <w:lang w:val="en-US" w:eastAsia="zh-CN"/>
        </w:rPr>
        <w:t>8.88</w:t>
      </w:r>
      <w:r>
        <w:rPr>
          <w:rFonts w:hint="eastAsia" w:ascii="楷体" w:hAnsi="楷体" w:eastAsia="楷体" w:cs="楷体"/>
          <w:sz w:val="32"/>
          <w:szCs w:val="32"/>
        </w:rPr>
        <w:t>万元（其中：公务用车购置费</w:t>
      </w:r>
      <w:r>
        <w:rPr>
          <w:rFonts w:hint="eastAsia" w:ascii="楷体" w:hAnsi="楷体" w:eastAsia="楷体" w:cs="楷体"/>
          <w:sz w:val="32"/>
          <w:szCs w:val="32"/>
          <w:highlight w:val="none"/>
        </w:rPr>
        <w:t>增</w:t>
      </w:r>
      <w:r>
        <w:rPr>
          <w:rFonts w:hint="eastAsia" w:ascii="楷体" w:hAnsi="楷体" w:eastAsia="楷体" w:cs="楷体"/>
          <w:sz w:val="32"/>
          <w:szCs w:val="32"/>
          <w:highlight w:val="none"/>
          <w:lang w:val="en-US" w:eastAsia="zh-CN"/>
        </w:rPr>
        <w:t>加</w:t>
      </w:r>
      <w:r>
        <w:rPr>
          <w:rFonts w:hint="eastAsia" w:ascii="楷体" w:hAnsi="楷体" w:eastAsia="楷体" w:cs="楷体"/>
          <w:sz w:val="32"/>
          <w:szCs w:val="32"/>
          <w:lang w:val="en-US" w:eastAsia="zh-CN"/>
        </w:rPr>
        <w:t>0</w:t>
      </w:r>
      <w:r>
        <w:rPr>
          <w:rFonts w:hint="eastAsia" w:ascii="楷体" w:hAnsi="楷体" w:eastAsia="楷体" w:cs="楷体"/>
          <w:sz w:val="32"/>
          <w:szCs w:val="32"/>
        </w:rPr>
        <w:t>万元，公务用车运维费</w:t>
      </w:r>
      <w:r>
        <w:rPr>
          <w:rFonts w:hint="eastAsia" w:ascii="楷体" w:hAnsi="楷体" w:eastAsia="楷体" w:cs="楷体"/>
          <w:sz w:val="32"/>
          <w:szCs w:val="32"/>
          <w:highlight w:val="none"/>
        </w:rPr>
        <w:t>增加</w:t>
      </w:r>
      <w:r>
        <w:rPr>
          <w:rFonts w:hint="eastAsia" w:ascii="楷体" w:hAnsi="楷体" w:eastAsia="楷体" w:cs="楷体"/>
          <w:sz w:val="32"/>
          <w:szCs w:val="32"/>
          <w:highlight w:val="none"/>
          <w:lang w:val="en-US" w:eastAsia="zh-CN"/>
        </w:rPr>
        <w:t>8.88</w:t>
      </w:r>
      <w:r>
        <w:rPr>
          <w:rFonts w:hint="eastAsia" w:ascii="楷体" w:hAnsi="楷体" w:eastAsia="楷体" w:cs="楷体"/>
          <w:sz w:val="32"/>
          <w:szCs w:val="32"/>
        </w:rPr>
        <w:t>万元)，主要原因是</w:t>
      </w:r>
      <w:r>
        <w:rPr>
          <w:rFonts w:hint="eastAsia" w:ascii="楷体" w:hAnsi="楷体" w:eastAsia="楷体" w:cs="楷体"/>
          <w:sz w:val="32"/>
          <w:szCs w:val="32"/>
          <w:lang w:val="en-US" w:eastAsia="zh-CN"/>
        </w:rPr>
        <w:t>公务用车车辆较多且购置时间较长。</w:t>
      </w:r>
      <w:r>
        <w:rPr>
          <w:rFonts w:hint="eastAsia" w:ascii="楷体" w:hAnsi="楷体" w:eastAsia="楷体" w:cs="楷体"/>
          <w:sz w:val="32"/>
          <w:szCs w:val="32"/>
        </w:rPr>
        <w:t>公务接待费</w:t>
      </w:r>
      <w:r>
        <w:rPr>
          <w:rFonts w:hint="eastAsia" w:ascii="楷体" w:hAnsi="楷体" w:eastAsia="楷体" w:cs="楷体"/>
          <w:sz w:val="32"/>
          <w:szCs w:val="32"/>
          <w:lang w:val="en-US" w:eastAsia="zh-CN"/>
        </w:rPr>
        <w:t>0</w:t>
      </w:r>
      <w:r>
        <w:rPr>
          <w:rFonts w:hint="eastAsia" w:ascii="楷体" w:hAnsi="楷体" w:eastAsia="楷体" w:cs="楷体"/>
          <w:sz w:val="32"/>
          <w:szCs w:val="32"/>
        </w:rPr>
        <w:t>万元</w:t>
      </w:r>
      <w:r>
        <w:rPr>
          <w:rFonts w:hint="eastAsia" w:ascii="楷体" w:hAnsi="楷体" w:eastAsia="楷体" w:cs="楷体"/>
          <w:sz w:val="32"/>
          <w:szCs w:val="32"/>
          <w:highlight w:val="none"/>
        </w:rPr>
        <w:t>增加</w:t>
      </w:r>
      <w:r>
        <w:rPr>
          <w:rFonts w:hint="eastAsia" w:ascii="楷体" w:hAnsi="楷体" w:eastAsia="楷体" w:cs="楷体"/>
          <w:sz w:val="32"/>
          <w:szCs w:val="32"/>
          <w:highlight w:val="none"/>
          <w:lang w:val="en-US" w:eastAsia="zh-CN"/>
        </w:rPr>
        <w:t>0</w:t>
      </w:r>
      <w:r>
        <w:rPr>
          <w:rFonts w:hint="eastAsia" w:ascii="楷体" w:hAnsi="楷体" w:eastAsia="楷体" w:cs="楷体"/>
          <w:sz w:val="32"/>
          <w:szCs w:val="32"/>
        </w:rPr>
        <w:t>万元，主要原因是我部门切实落实勤俭节约各项规定，严格控制公务接待费支出。</w:t>
      </w:r>
    </w:p>
    <w:p>
      <w:pPr>
        <w:spacing w:line="584"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五、预算绩效信息（与部门绩效文本内容保持一致）</w:t>
      </w:r>
    </w:p>
    <w:p>
      <w:pPr>
        <w:spacing w:line="584" w:lineRule="exact"/>
        <w:ind w:firstLine="640" w:firstLineChars="200"/>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第一部分部门整体绩效目标</w:t>
      </w:r>
    </w:p>
    <w:p>
      <w:pPr>
        <w:spacing w:before="10" w:after="10"/>
        <w:ind w:firstLine="560"/>
        <w:outlineLvl w:val="1"/>
        <w:rPr>
          <w:rFonts w:hint="eastAsia" w:ascii="楷体" w:hAnsi="楷体" w:eastAsia="楷体" w:cs="楷体"/>
        </w:rPr>
      </w:pPr>
      <w:bookmarkStart w:id="0" w:name="_Toc_2_2_0000000001"/>
      <w:r>
        <w:rPr>
          <w:rFonts w:hint="eastAsia" w:ascii="楷体" w:hAnsi="楷体" w:eastAsia="楷体" w:cs="楷体"/>
          <w:color w:val="000000"/>
          <w:sz w:val="28"/>
        </w:rPr>
        <w:t>一、总体绩效目标</w:t>
      </w:r>
      <w:bookmarkEnd w:id="0"/>
    </w:p>
    <w:p>
      <w:pPr>
        <w:pStyle w:val="11"/>
        <w:rPr>
          <w:rFonts w:hint="eastAsia" w:ascii="楷体" w:hAnsi="楷体" w:eastAsia="楷体" w:cs="楷体"/>
        </w:rPr>
      </w:pPr>
      <w:r>
        <w:rPr>
          <w:rFonts w:hint="eastAsia" w:ascii="楷体" w:hAnsi="楷体" w:eastAsia="楷体" w:cs="楷体"/>
        </w:rPr>
        <w:t>1.深化人民调解、医调委、社区矫正和安置帮教工作，最大限度降低重新违法犯罪和社会稳定因素发生率</w:t>
      </w:r>
      <w:r>
        <w:rPr>
          <w:rFonts w:hint="eastAsia" w:ascii="楷体" w:hAnsi="楷体" w:eastAsia="楷体" w:cs="楷体"/>
          <w:lang w:eastAsia="zh-CN"/>
        </w:rPr>
        <w:t>，</w:t>
      </w:r>
      <w:r>
        <w:rPr>
          <w:rFonts w:hint="eastAsia" w:ascii="楷体" w:hAnsi="楷体" w:eastAsia="楷体" w:cs="楷体"/>
        </w:rPr>
        <w:t>充分发挥法律服务和法制宣传职能，着力保障民生和法治香河建设。</w:t>
      </w:r>
    </w:p>
    <w:p>
      <w:pPr>
        <w:pStyle w:val="11"/>
        <w:rPr>
          <w:rFonts w:hint="eastAsia" w:ascii="楷体" w:hAnsi="楷体" w:eastAsia="楷体" w:cs="楷体"/>
        </w:rPr>
      </w:pPr>
      <w:r>
        <w:rPr>
          <w:rFonts w:hint="eastAsia" w:ascii="楷体" w:hAnsi="楷体" w:eastAsia="楷体" w:cs="楷体"/>
        </w:rPr>
        <w:t>2.通过开展综合业务、综合政务管理工作不断促进司法系统执法能力全面提升。</w:t>
      </w:r>
    </w:p>
    <w:p>
      <w:pPr>
        <w:pStyle w:val="11"/>
        <w:rPr>
          <w:rFonts w:hint="eastAsia" w:ascii="楷体" w:hAnsi="楷体" w:eastAsia="楷体" w:cs="楷体"/>
        </w:rPr>
      </w:pPr>
      <w:r>
        <w:rPr>
          <w:rFonts w:hint="eastAsia" w:ascii="楷体" w:hAnsi="楷体" w:eastAsia="楷体" w:cs="楷体"/>
        </w:rPr>
        <w:t>3.贯彻落实国家司法行政工作方针政策，提高全县司法行政管理水平，提高全县人民法律意识和法律素质，促进全县民主与法制建设。</w:t>
      </w:r>
    </w:p>
    <w:p>
      <w:pPr>
        <w:pStyle w:val="11"/>
        <w:rPr>
          <w:rFonts w:hint="eastAsia" w:ascii="楷体" w:hAnsi="楷体" w:eastAsia="楷体" w:cs="楷体"/>
        </w:rPr>
      </w:pPr>
      <w:r>
        <w:rPr>
          <w:rFonts w:hint="eastAsia" w:ascii="楷体" w:hAnsi="楷体" w:eastAsia="楷体" w:cs="楷体"/>
        </w:rPr>
        <w:t>4.充分发挥法律服务职能，规范律师、公证行业管理。扩大法律援助覆盖面，推动全县法律援助工作长足发展。</w:t>
      </w:r>
    </w:p>
    <w:p>
      <w:pPr>
        <w:pStyle w:val="11"/>
        <w:rPr>
          <w:rFonts w:hint="eastAsia" w:ascii="楷体" w:hAnsi="楷体" w:eastAsia="楷体" w:cs="楷体"/>
        </w:rPr>
      </w:pPr>
      <w:r>
        <w:rPr>
          <w:rFonts w:hint="eastAsia" w:ascii="楷体" w:hAnsi="楷体" w:eastAsia="楷体" w:cs="楷体"/>
        </w:rPr>
        <w:t xml:space="preserve">5.调委会建设规范并能够经常性开展民间矛盾纠纷的排查与调处工作，为社会的和谐稳定提供有力的支撑与保障。 </w:t>
      </w:r>
    </w:p>
    <w:p>
      <w:pPr>
        <w:pStyle w:val="11"/>
        <w:rPr>
          <w:rFonts w:hint="eastAsia" w:ascii="楷体" w:hAnsi="楷体" w:eastAsia="楷体" w:cs="楷体"/>
        </w:rPr>
      </w:pPr>
      <w:r>
        <w:rPr>
          <w:rFonts w:hint="eastAsia" w:ascii="楷体" w:hAnsi="楷体" w:eastAsia="楷体" w:cs="楷体"/>
        </w:rPr>
        <w:t>6.深化社区矫正和安置帮教工作，最大限度降低重新违法犯罪和社会不稳定因素发展。</w:t>
      </w:r>
    </w:p>
    <w:p>
      <w:pPr>
        <w:spacing w:before="10" w:after="10"/>
        <w:ind w:firstLine="560"/>
        <w:outlineLvl w:val="1"/>
        <w:rPr>
          <w:rFonts w:hint="eastAsia" w:ascii="黑体" w:hAnsi="黑体" w:eastAsia="黑体" w:cs="黑体"/>
          <w:sz w:val="32"/>
          <w:szCs w:val="32"/>
        </w:rPr>
      </w:pPr>
      <w:bookmarkStart w:id="1" w:name="_Toc_2_2_0000000002"/>
      <w:r>
        <w:rPr>
          <w:rFonts w:hint="eastAsia" w:ascii="黑体" w:hAnsi="黑体" w:eastAsia="黑体" w:cs="黑体"/>
          <w:color w:val="000000"/>
          <w:sz w:val="32"/>
          <w:szCs w:val="32"/>
        </w:rPr>
        <w:t>二、分项绩效目标</w:t>
      </w:r>
      <w:bookmarkEnd w:id="1"/>
    </w:p>
    <w:p>
      <w:pPr>
        <w:pStyle w:val="12"/>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一、司法行政管理方面。</w:t>
      </w:r>
    </w:p>
    <w:p>
      <w:pPr>
        <w:pStyle w:val="12"/>
        <w:rPr>
          <w:rFonts w:hint="eastAsia" w:ascii="楷体" w:hAnsi="楷体" w:eastAsia="楷体" w:cs="楷体"/>
        </w:rPr>
      </w:pPr>
      <w:r>
        <w:rPr>
          <w:rFonts w:hint="eastAsia" w:ascii="楷体" w:hAnsi="楷体" w:eastAsia="楷体" w:cs="楷体"/>
        </w:rPr>
        <w:t>1、普法宣传工作。绩效目标为提高全县人民法律意识和法律素质，增强法制管理水平，促进全县民主与法制建设。绩效指标有普法考核通过率95%；组织主题宣传活动3次以上。</w:t>
      </w:r>
    </w:p>
    <w:p>
      <w:pPr>
        <w:pStyle w:val="12"/>
        <w:rPr>
          <w:rFonts w:hint="eastAsia" w:ascii="楷体" w:hAnsi="楷体" w:eastAsia="楷体" w:cs="楷体"/>
        </w:rPr>
      </w:pPr>
      <w:r>
        <w:rPr>
          <w:rFonts w:hint="eastAsia" w:ascii="楷体" w:hAnsi="楷体" w:eastAsia="楷体" w:cs="楷体"/>
        </w:rPr>
        <w:t>2、律师公证管理工作。绩效目标为充分发挥法律服务职能，着力服务经济改革、保障民生。绩效指标有提供法律咨询50宗以上；机构年检率99%以上；机构年检满意率95%以上。</w:t>
      </w:r>
    </w:p>
    <w:p>
      <w:pPr>
        <w:pStyle w:val="12"/>
        <w:rPr>
          <w:rFonts w:hint="eastAsia" w:ascii="楷体" w:hAnsi="楷体" w:eastAsia="楷体" w:cs="楷体"/>
        </w:rPr>
      </w:pPr>
      <w:r>
        <w:rPr>
          <w:rFonts w:hint="eastAsia" w:ascii="楷体" w:hAnsi="楷体" w:eastAsia="楷体" w:cs="楷体"/>
        </w:rPr>
        <w:t>3、基层司法业务工作。绩效目标为深化开展人民调解和社区矫正工作，最大限度降低重新犯罪和社会不稳定因素发生率。绩效指标有人民调解案件80件以上，调解案件群众满意度90%以上，再犯罪率0.2%以下；社区矫正人数210人以下。</w:t>
      </w:r>
    </w:p>
    <w:p>
      <w:pPr>
        <w:pStyle w:val="12"/>
        <w:rPr>
          <w:rFonts w:hint="eastAsia" w:ascii="楷体" w:hAnsi="楷体" w:eastAsia="楷体" w:cs="楷体"/>
        </w:rPr>
      </w:pPr>
      <w:r>
        <w:rPr>
          <w:rFonts w:hint="eastAsia" w:ascii="楷体" w:hAnsi="楷体" w:eastAsia="楷体" w:cs="楷体"/>
        </w:rPr>
        <w:t>4、法律援助工作。绩效目标为建立完善法律援助工作机制，扩大法律援助覆盖面，推动全县法律援助工作长足发展。绩效指标有采购业务装备2项，采购宣传用品2项。</w:t>
      </w:r>
    </w:p>
    <w:p>
      <w:pPr>
        <w:pStyle w:val="12"/>
        <w:rPr>
          <w:rFonts w:hint="eastAsia" w:ascii="楷体" w:hAnsi="楷体" w:eastAsia="楷体" w:cs="楷体"/>
        </w:rPr>
      </w:pPr>
      <w:r>
        <w:rPr>
          <w:rFonts w:hint="eastAsia" w:ascii="楷体" w:hAnsi="楷体" w:eastAsia="楷体" w:cs="楷体"/>
        </w:rPr>
        <w:t>5、司法鉴定工作。绩效目标为规范司法鉴定机构和司法鉴定人的管理，提高司法鉴定人员素质，促进司法鉴定的公正、公平。绩效指标有司法鉴定机构年检率100%；司法鉴定准确率90%；年度新许可司法鉴定人参加转岗培训率90%；司法鉴定人员的培训率占全体鉴定人的90%以上。</w:t>
      </w:r>
    </w:p>
    <w:p>
      <w:pPr>
        <w:pStyle w:val="12"/>
        <w:rPr>
          <w:rFonts w:hint="eastAsia" w:ascii="楷体" w:hAnsi="楷体" w:eastAsia="楷体" w:cs="楷体"/>
        </w:rPr>
      </w:pPr>
      <w:r>
        <w:rPr>
          <w:rFonts w:hint="eastAsia" w:ascii="楷体" w:hAnsi="楷体" w:eastAsia="楷体" w:cs="楷体"/>
        </w:rPr>
        <w:t>6、行政复议工作。绩效目标为通过依法受理并办理行政复议案件，办理行政诉讼、裁决案件，及时纠正各级行政机关违法不当行为，保障申请人合法权益，推动依法行政。绩效指标有办理行政复议案件数量10件，案件办结率95%以上。</w:t>
      </w:r>
    </w:p>
    <w:p>
      <w:pPr>
        <w:pStyle w:val="12"/>
        <w:rPr>
          <w:rFonts w:hint="eastAsia" w:ascii="楷体" w:hAnsi="楷体" w:eastAsia="楷体" w:cs="楷体"/>
        </w:rPr>
      </w:pPr>
      <w:r>
        <w:rPr>
          <w:rFonts w:hint="eastAsia" w:ascii="楷体" w:hAnsi="楷体" w:eastAsia="楷体" w:cs="楷体"/>
        </w:rPr>
        <w:t>7、政府法制工作。绩效目标为通过项目的开展完成执法人员培训考试，政府行为进行法律审查，实现确保公正、文明执法；政府行为符合法律规定。保障行政执法网站专栏正常运行。绩效指标有培训执法人员950人次以上，执法人员考试合法率85%以上。</w:t>
      </w:r>
    </w:p>
    <w:p>
      <w:pPr>
        <w:pStyle w:val="12"/>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二、司法政务管理方面。</w:t>
      </w:r>
    </w:p>
    <w:p>
      <w:pPr>
        <w:pStyle w:val="12"/>
        <w:rPr>
          <w:rFonts w:hint="eastAsia" w:ascii="楷体" w:hAnsi="楷体" w:eastAsia="楷体" w:cs="楷体"/>
        </w:rPr>
      </w:pPr>
      <w:r>
        <w:rPr>
          <w:rFonts w:hint="eastAsia" w:ascii="楷体" w:hAnsi="楷体" w:eastAsia="楷体" w:cs="楷体"/>
        </w:rPr>
        <w:t>1、综合业务管理工作。绩效目标为加强纪检监督、信息化建设等，促进司法行政系统各项事业健康发展；绩效目标有综合业务管理工作完成率100%。</w:t>
      </w:r>
    </w:p>
    <w:p>
      <w:pPr>
        <w:pStyle w:val="12"/>
        <w:rPr>
          <w:rFonts w:hint="eastAsia" w:ascii="楷体" w:hAnsi="楷体" w:eastAsia="楷体" w:cs="楷体"/>
        </w:rPr>
      </w:pPr>
      <w:r>
        <w:rPr>
          <w:rFonts w:hint="eastAsia" w:ascii="楷体" w:hAnsi="楷体" w:eastAsia="楷体" w:cs="楷体"/>
        </w:rPr>
        <w:t>2、综合政务管理工作。绩效目标为加强机关后勤保障确保正常办公环境需要。绩效指标有综合事务管理工作完成率100%。</w:t>
      </w:r>
    </w:p>
    <w:p>
      <w:pPr>
        <w:pStyle w:val="12"/>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二、司法政务管理方面。</w:t>
      </w:r>
    </w:p>
    <w:p>
      <w:pPr>
        <w:pStyle w:val="12"/>
        <w:rPr>
          <w:rFonts w:hint="eastAsia" w:ascii="楷体" w:hAnsi="楷体" w:eastAsia="楷体" w:cs="楷体"/>
        </w:rPr>
      </w:pPr>
      <w:r>
        <w:rPr>
          <w:rFonts w:hint="eastAsia" w:ascii="楷体" w:hAnsi="楷体" w:eastAsia="楷体" w:cs="楷体"/>
        </w:rPr>
        <w:t>1、综合业务管理工作。绩效目标为加强纪检监督、信息化建设等，促进司法行政系统各项事业健康发展；绩效目标有综合业务管理工作完成率100%。</w:t>
      </w:r>
    </w:p>
    <w:p>
      <w:pPr>
        <w:pStyle w:val="12"/>
        <w:rPr>
          <w:rFonts w:hint="eastAsia" w:ascii="楷体" w:hAnsi="楷体" w:eastAsia="楷体" w:cs="楷体"/>
        </w:rPr>
      </w:pPr>
      <w:r>
        <w:rPr>
          <w:rFonts w:hint="eastAsia" w:ascii="楷体" w:hAnsi="楷体" w:eastAsia="楷体" w:cs="楷体"/>
        </w:rPr>
        <w:t>2、综合政务管理工作。绩效目标为加强机关后勤保障确保正常办公环境需要。绩效指标有综合事务管理工作完成率100%。</w:t>
      </w:r>
    </w:p>
    <w:p>
      <w:pPr>
        <w:spacing w:before="10" w:after="10"/>
        <w:ind w:firstLine="560"/>
        <w:outlineLvl w:val="1"/>
        <w:rPr>
          <w:rFonts w:hint="eastAsia" w:ascii="黑体" w:hAnsi="黑体" w:eastAsia="黑体" w:cs="黑体"/>
          <w:sz w:val="32"/>
          <w:szCs w:val="32"/>
        </w:rPr>
      </w:pPr>
      <w:bookmarkStart w:id="2" w:name="_Toc_2_2_0000000003"/>
      <w:r>
        <w:rPr>
          <w:rFonts w:hint="eastAsia" w:ascii="黑体" w:hAnsi="黑体" w:eastAsia="黑体" w:cs="黑体"/>
          <w:color w:val="000000"/>
          <w:sz w:val="32"/>
          <w:szCs w:val="32"/>
        </w:rPr>
        <w:t>三、工作保障措施</w:t>
      </w:r>
      <w:bookmarkEnd w:id="2"/>
    </w:p>
    <w:p>
      <w:pPr>
        <w:pStyle w:val="13"/>
        <w:rPr>
          <w:rFonts w:hint="eastAsia" w:ascii="楷体" w:hAnsi="楷体" w:eastAsia="楷体" w:cs="楷体"/>
        </w:rPr>
      </w:pPr>
      <w:r>
        <w:rPr>
          <w:rFonts w:hint="eastAsia" w:ascii="楷体" w:hAnsi="楷体" w:eastAsia="楷体" w:cs="楷体"/>
        </w:rPr>
        <w:t>一、司法行政管理方面。保障措施有制订全县法制宣传、普及法律常识的规划并组织实施，指导全县各乡镇和行业开展依法治理工作；监督和指导全县律师、公证业务工作；对全县法律服务机构进行管理；指导并开展社区矫正、医调委和人民调解工作；指导并开展法律援助工作；规范司法鉴定机构和司法鉴定人的管理； 依法办理行政复议案件，推动行政复议规范化建设；结合“互联网+”和“大数据”的发展趋势，对全县行政执法人员进行培训。</w:t>
      </w:r>
    </w:p>
    <w:p>
      <w:pPr>
        <w:pStyle w:val="13"/>
        <w:rPr>
          <w:rFonts w:hint="eastAsia" w:ascii="楷体" w:hAnsi="楷体" w:eastAsia="楷体" w:cs="楷体"/>
        </w:rPr>
      </w:pPr>
      <w:r>
        <w:rPr>
          <w:rFonts w:hint="eastAsia" w:ascii="楷体" w:hAnsi="楷体" w:eastAsia="楷体" w:cs="楷体"/>
        </w:rPr>
        <w:t>二、司法行政系统执法能力建设方面。保障措施有管理和指导全县司法行政系统队伍建设和思想政治工作；着力提升队伍五种能力。</w:t>
      </w:r>
    </w:p>
    <w:p>
      <w:pPr>
        <w:spacing w:before="10" w:after="10"/>
        <w:outlineLvl w:val="1"/>
        <w:rPr>
          <w:rFonts w:hint="eastAsia" w:ascii="方正小标宋_GBK" w:hAnsi="方正小标宋_GBK" w:eastAsia="方正小标宋_GBK" w:cs="方正小标宋_GBK"/>
        </w:rPr>
        <w:sectPr>
          <w:pgSz w:w="16840" w:h="11900" w:orient="landscape"/>
          <w:pgMar w:top="1304" w:right="1984" w:bottom="1304" w:left="1134" w:header="720" w:footer="720" w:gutter="0"/>
          <w:pgNumType w:start="1"/>
          <w:cols w:space="720" w:num="1"/>
        </w:sectPr>
      </w:pPr>
    </w:p>
    <w:p>
      <w:pPr>
        <w:spacing w:line="584" w:lineRule="exact"/>
        <w:rPr>
          <w:rFonts w:hint="eastAsia" w:ascii="黑体" w:hAnsi="黑体" w:eastAsia="黑体" w:cs="黑体"/>
          <w:sz w:val="32"/>
          <w:szCs w:val="32"/>
        </w:rPr>
      </w:pPr>
      <w:bookmarkStart w:id="3" w:name="_Toc_4_4_0000000004"/>
      <w:r>
        <w:rPr>
          <w:rFonts w:hint="eastAsia" w:ascii="黑体" w:hAnsi="黑体" w:eastAsia="黑体" w:cs="黑体"/>
          <w:sz w:val="32"/>
          <w:szCs w:val="32"/>
        </w:rPr>
        <w:t>第二部分资金绩效目标</w:t>
      </w:r>
    </w:p>
    <w:p>
      <w:pPr>
        <w:outlineLvl w:val="3"/>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1.办公运行经费绩效目标表</w:t>
      </w:r>
      <w:bookmarkEnd w:id="3"/>
    </w:p>
    <w:tbl>
      <w:tblPr>
        <w:tblStyle w:val="2"/>
        <w:tblW w:w="967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1"/>
        <w:gridCol w:w="1241"/>
        <w:gridCol w:w="1305"/>
        <w:gridCol w:w="1547"/>
        <w:gridCol w:w="1268"/>
        <w:gridCol w:w="1279"/>
        <w:gridCol w:w="17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881"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798"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4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546"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13102423P005C0J10005B</w:t>
            </w:r>
          </w:p>
        </w:tc>
        <w:tc>
          <w:tcPr>
            <w:tcW w:w="154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345"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办公运行经费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1241"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4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05"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19.00</w:t>
            </w:r>
          </w:p>
        </w:tc>
        <w:tc>
          <w:tcPr>
            <w:tcW w:w="154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26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19.00</w:t>
            </w:r>
          </w:p>
        </w:tc>
        <w:tc>
          <w:tcPr>
            <w:tcW w:w="1279"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79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6" w:hRule="atLeast"/>
          <w:jc w:val="center"/>
        </w:trPr>
        <w:tc>
          <w:tcPr>
            <w:tcW w:w="1241" w:type="dxa"/>
            <w:vMerge w:val="continue"/>
          </w:tcPr>
          <w:p>
            <w:pPr>
              <w:rPr>
                <w:rFonts w:hint="eastAsia" w:ascii="方正小标宋_GBK" w:hAnsi="方正小标宋_GBK" w:eastAsia="方正小标宋_GBK" w:cs="方正小标宋_GBK"/>
              </w:rPr>
            </w:pPr>
          </w:p>
        </w:tc>
        <w:tc>
          <w:tcPr>
            <w:tcW w:w="8438"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此项经费主要用于本年度各项物业管理费用支出。维护后厨运行，做好机关保洁工作，做好机关安保工作，保障司法行政各项工作任务的落实。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41"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546"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4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268"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077"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241" w:type="dxa"/>
            <w:vMerge w:val="continue"/>
          </w:tcPr>
          <w:p>
            <w:pPr>
              <w:rPr>
                <w:rFonts w:hint="eastAsia" w:ascii="方正小标宋_GBK" w:hAnsi="方正小标宋_GBK" w:eastAsia="方正小标宋_GBK" w:cs="方正小标宋_GBK"/>
              </w:rPr>
            </w:pPr>
          </w:p>
        </w:tc>
        <w:tc>
          <w:tcPr>
            <w:tcW w:w="2546"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4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268"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077"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37" w:hRule="atLeast"/>
          <w:jc w:val="center"/>
        </w:trPr>
        <w:tc>
          <w:tcPr>
            <w:tcW w:w="124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438" w:type="dxa"/>
            <w:gridSpan w:val="6"/>
            <w:vAlign w:val="center"/>
          </w:tcPr>
          <w:p>
            <w:pPr>
              <w:pStyle w:val="8"/>
              <w:numPr>
                <w:ilvl w:val="0"/>
                <w:numId w:val="1"/>
              </w:numPr>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通过项目的开展做好机关保洁工作，做好机关安保工作，保障司法行政各项工作任务的落实，使司法行政工作再上新台阶，取得新成绩。</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numPr>
                <w:ilvl w:val="0"/>
                <w:numId w:val="1"/>
              </w:numPr>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2.通过项目的开展完成日常物业管理工作，维持后厨运行，保障司法行政各项工作任务的落实，使司法行政工作再上新台阶，取得新成绩。</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99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58"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日物业管理次数</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平均每日提供物业管理次数</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≥3次</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物业管理率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物业管理工作全面开展情况</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当年物业管理工作的完成情况</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每季度支出成本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每季度支出成本</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≤3.5万元</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维持运转率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提供物业管理机关维持运转情况</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取得的社会效果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生态效益指标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长期使用性</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提供物业管理使用时间长度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取得可持续影响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工作人员对物业管理的满意情况</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工作人员对物业管理的满意情况</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58"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问卷调查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4" w:name="_Toc_4_4_0000000005"/>
      <w:r>
        <w:rPr>
          <w:rFonts w:hint="eastAsia" w:ascii="方正小标宋_GBK" w:hAnsi="方正小标宋_GBK" w:eastAsia="方正小标宋_GBK" w:cs="方正小标宋_GBK"/>
          <w:color w:val="000000"/>
          <w:sz w:val="28"/>
        </w:rPr>
        <w:t>2.法律援助工作经费绩效目标表</w:t>
      </w:r>
      <w:bookmarkEnd w:id="4"/>
    </w:p>
    <w:tbl>
      <w:tblPr>
        <w:tblStyle w:val="2"/>
        <w:tblW w:w="987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4"/>
        <w:gridCol w:w="1274"/>
        <w:gridCol w:w="1329"/>
        <w:gridCol w:w="1584"/>
        <w:gridCol w:w="1300"/>
        <w:gridCol w:w="1279"/>
        <w:gridCol w:w="18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804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39"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27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3"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13102423P00QFL2100032</w:t>
            </w:r>
          </w:p>
        </w:tc>
        <w:tc>
          <w:tcPr>
            <w:tcW w:w="158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18"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法律援助工作经费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jc w:val="center"/>
        </w:trPr>
        <w:tc>
          <w:tcPr>
            <w:tcW w:w="1274"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29"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2.00</w:t>
            </w:r>
          </w:p>
        </w:tc>
        <w:tc>
          <w:tcPr>
            <w:tcW w:w="158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0"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2.00</w:t>
            </w:r>
          </w:p>
        </w:tc>
        <w:tc>
          <w:tcPr>
            <w:tcW w:w="1279"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39"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3" w:hRule="atLeast"/>
          <w:jc w:val="center"/>
        </w:trPr>
        <w:tc>
          <w:tcPr>
            <w:tcW w:w="1274" w:type="dxa"/>
            <w:vMerge w:val="continue"/>
          </w:tcPr>
          <w:p>
            <w:pPr>
              <w:rPr>
                <w:rFonts w:hint="eastAsia" w:ascii="方正小标宋_GBK" w:hAnsi="方正小标宋_GBK" w:eastAsia="方正小标宋_GBK" w:cs="方正小标宋_GBK"/>
              </w:rPr>
            </w:pPr>
          </w:p>
        </w:tc>
        <w:tc>
          <w:tcPr>
            <w:tcW w:w="8605"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该项目主要用于业务装备的购置，业务资料、宣传资料、宣传展牌的印制及律师补贴费用。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274"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3"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0"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274" w:type="dxa"/>
            <w:vMerge w:val="continue"/>
          </w:tcPr>
          <w:p>
            <w:pPr>
              <w:rPr>
                <w:rFonts w:hint="eastAsia" w:ascii="方正小标宋_GBK" w:hAnsi="方正小标宋_GBK" w:eastAsia="方正小标宋_GBK" w:cs="方正小标宋_GBK"/>
              </w:rPr>
            </w:pPr>
          </w:p>
        </w:tc>
        <w:tc>
          <w:tcPr>
            <w:tcW w:w="2603"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c>
          <w:tcPr>
            <w:tcW w:w="158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30%</w:t>
            </w:r>
          </w:p>
        </w:tc>
        <w:tc>
          <w:tcPr>
            <w:tcW w:w="1300"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60%</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55" w:hRule="atLeast"/>
          <w:jc w:val="center"/>
        </w:trPr>
        <w:tc>
          <w:tcPr>
            <w:tcW w:w="127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05"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1.通过开展法律援助工作，扩大法律援助覆盖面，推动全县法律援助工作长足发展。</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2."通过提高法律援助工作人员的工作能力和水平，不断提高法律援助办案效率和办案数量。</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采购宣传用品</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采购宣传用品</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≥1项</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保障业务正常运转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保障业务正常运转</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月成本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月成本</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≤0.16万元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覆盖率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覆盖率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生态效益指标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任务计划完成率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任务计划完成率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通过抽样调查的方式，对工作人员进行调查，达到满意程度的比例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5" w:name="_Toc_4_4_0000000006"/>
      <w:r>
        <w:rPr>
          <w:rFonts w:hint="eastAsia" w:ascii="方正小标宋_GBK" w:hAnsi="方正小标宋_GBK" w:eastAsia="方正小标宋_GBK" w:cs="方正小标宋_GBK"/>
          <w:color w:val="000000"/>
          <w:sz w:val="28"/>
        </w:rPr>
        <w:t>3.公共法律服务中心运行维护费绩效目标表</w:t>
      </w:r>
      <w:bookmarkEnd w:id="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13102423P00B73X100031</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公共法律服务中心运行维护费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主要用于公共法律服务中心的水、电、办公及日常运维费。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1.通过业务的开展，促进公共法律服务中心各项业务的长足发展。</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2.通过业务的开展，保障公共法律服务中心各项业务的正常运转。</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保障水电等正常使用天数</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保障水电等正常使用天数</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≥360天</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保障业务正常开展时间</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保障业务正常开展时间</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≥90比率</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年保障成本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年保障成本</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覆盖率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覆盖率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≥90比率</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任务计划完成率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任务计划完成率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≥90比率</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通过抽样调查的方式，对工作人员进行调查，达到满意程度的比例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≥90比率</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6" w:name="_Toc_4_4_0000000007"/>
      <w:r>
        <w:rPr>
          <w:rFonts w:hint="eastAsia" w:ascii="方正小标宋_GBK" w:hAnsi="方正小标宋_GBK" w:eastAsia="方正小标宋_GBK" w:cs="方正小标宋_GBK"/>
          <w:color w:val="000000"/>
          <w:sz w:val="28"/>
        </w:rPr>
        <w:t>4.冀财政法[2022]55号关于提前下达2023年中央政法纪检监察转移支付资金的通知绩效目标表</w:t>
      </w:r>
      <w:bookmarkEnd w:id="6"/>
    </w:p>
    <w:tbl>
      <w:tblPr>
        <w:tblStyle w:val="2"/>
        <w:tblW w:w="983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9"/>
        <w:gridCol w:w="1269"/>
        <w:gridCol w:w="1324"/>
        <w:gridCol w:w="1578"/>
        <w:gridCol w:w="1296"/>
        <w:gridCol w:w="1271"/>
        <w:gridCol w:w="18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8007"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32"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3" w:hRule="atLeast"/>
          <w:jc w:val="center"/>
        </w:trPr>
        <w:tc>
          <w:tcPr>
            <w:tcW w:w="1269"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593"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13102423P00000410003T</w:t>
            </w:r>
          </w:p>
        </w:tc>
        <w:tc>
          <w:tcPr>
            <w:tcW w:w="1578"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399"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冀财政法[2022]55号关于提前下达2023年中央政法纪检监察转移支付资金的通知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783" w:hRule="atLeast"/>
          <w:jc w:val="center"/>
        </w:trPr>
        <w:tc>
          <w:tcPr>
            <w:tcW w:w="1269"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69"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2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41.00</w:t>
            </w:r>
          </w:p>
        </w:tc>
        <w:tc>
          <w:tcPr>
            <w:tcW w:w="1578"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29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41.00</w:t>
            </w:r>
          </w:p>
        </w:tc>
        <w:tc>
          <w:tcPr>
            <w:tcW w:w="127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1269" w:type="dxa"/>
            <w:vMerge w:val="continue"/>
          </w:tcPr>
          <w:p>
            <w:pPr>
              <w:rPr>
                <w:rFonts w:hint="eastAsia" w:ascii="方正小标宋_GBK" w:hAnsi="方正小标宋_GBK" w:eastAsia="方正小标宋_GBK" w:cs="方正小标宋_GBK"/>
              </w:rPr>
            </w:pPr>
          </w:p>
        </w:tc>
        <w:tc>
          <w:tcPr>
            <w:tcW w:w="8570"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用于保障政法机关开展办案业务和业务装备支出。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0" w:hRule="atLeast"/>
          <w:jc w:val="center"/>
        </w:trPr>
        <w:tc>
          <w:tcPr>
            <w:tcW w:w="1269"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593"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78"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29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03"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7" w:hRule="atLeast"/>
          <w:jc w:val="center"/>
        </w:trPr>
        <w:tc>
          <w:tcPr>
            <w:tcW w:w="1269" w:type="dxa"/>
            <w:vMerge w:val="continue"/>
          </w:tcPr>
          <w:p>
            <w:pPr>
              <w:rPr>
                <w:rFonts w:hint="eastAsia" w:ascii="方正小标宋_GBK" w:hAnsi="方正小标宋_GBK" w:eastAsia="方正小标宋_GBK" w:cs="方正小标宋_GBK"/>
              </w:rPr>
            </w:pPr>
          </w:p>
        </w:tc>
        <w:tc>
          <w:tcPr>
            <w:tcW w:w="2593"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c>
          <w:tcPr>
            <w:tcW w:w="1578"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30%</w:t>
            </w:r>
          </w:p>
        </w:tc>
        <w:tc>
          <w:tcPr>
            <w:tcW w:w="129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3103"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2" w:hRule="atLeast"/>
          <w:jc w:val="center"/>
        </w:trPr>
        <w:tc>
          <w:tcPr>
            <w:tcW w:w="1269"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570"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1.通过配备办案业务工作所必需基本手段和条件的装备及办案需要，提升办案质量和效率</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按照年度计划数量完成设备购置的比例。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设备购置合格率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购置的设备符合质量验收标准的比例。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按照年度计划时间完成设备购置的比例。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设备购置、工作开展成本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社区矫正对象再犯罪率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年度社区矫正对象再犯罪率人数与列管人数之比。</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≤0.2%</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调查问卷</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7" w:name="_Toc_4_4_0000000008"/>
      <w:r>
        <w:rPr>
          <w:rFonts w:hint="eastAsia" w:ascii="方正小标宋_GBK" w:hAnsi="方正小标宋_GBK" w:eastAsia="方正小标宋_GBK" w:cs="方正小标宋_GBK"/>
          <w:color w:val="000000"/>
          <w:sz w:val="28"/>
        </w:rPr>
        <w:t>5.冀财政法[2022]56号关于提前下达2023年省级基层公检法司转移支付资金的通知绩效目标表</w:t>
      </w:r>
      <w:bookmarkEnd w:id="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13102423P00000610001Y</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冀财政法[2022]56号关于提前下达2023年省级基层公检法司转移支付资金的通知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18.00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18.00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资金用于保障政法机关开展办案业务和业务装备及法律援助支出。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1.通过配备办案业务工作所必需基本手段和条件的装备及办案需要，提升办案质量和效率</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2.通过提高法律援助工作人员的工作能力和水平，不断提高法律援助办案效率和办案数量。</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按照年度计划数量完成设备购置的比例。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设备购置合格率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购置的设备符合质量验收标准的比例。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按照年度计划时间完成设备购置的比例。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设备购置、工作开展成本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社区矫正对象再犯罪率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年度社区矫正对象再犯罪率人数与列管人数之比。</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≤0.2%</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调查问卷</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8" w:name="_Toc_4_4_0000000009"/>
      <w:r>
        <w:rPr>
          <w:rFonts w:hint="eastAsia" w:ascii="方正小标宋_GBK" w:hAnsi="方正小标宋_GBK" w:eastAsia="方正小标宋_GBK" w:cs="方正小标宋_GBK"/>
          <w:color w:val="000000"/>
          <w:sz w:val="28"/>
        </w:rPr>
        <w:t>6.冀财政法[2022]57号关于提前下达2023年省级社区矫正转移支付资金的通知绩效目标表</w:t>
      </w:r>
      <w:bookmarkEnd w:id="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13102423P000007100028</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冀财政法[2022]57号关于提前下达2023年省级社区矫正转移支付资金的通知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3.87</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3.87</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用于社区矫正工作支出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1.目标内容1</w:t>
            </w: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按照年度计划数量完成设备购置的比例。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设备购置合格率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购置的设备符合质量验收标准的比例。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按照年度计划时间完成设备购置的比例。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设备购置、工作开展成本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托管比例</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年度脱离执行地社区矫正机构的监督管理，导致下落不明的人数与年度列管人数之比。</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完成调查评估平均期限</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年度内县级司法行政机关自收到调查评估委托函及所附材料之日起完成调查评估的平均期限。</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≤10个工作日</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完成调查评估平均期限</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年度内县级司法行政机关自收到调查评估委托函及所附材料之日起完成调查评估的平均期限。</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≤10个工作日</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有效投诉率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有效投诉率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&lt;2%</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上级部门满意度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达到满意程度的比例</w:t>
            </w:r>
          </w:p>
          <w:p>
            <w:pPr>
              <w:pStyle w:val="8"/>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9" w:name="_Toc_4_4_0000000010"/>
      <w:r>
        <w:rPr>
          <w:rFonts w:hint="eastAsia" w:ascii="方正小标宋_GBK" w:hAnsi="方正小标宋_GBK" w:eastAsia="方正小标宋_GBK" w:cs="方正小标宋_GBK"/>
          <w:color w:val="000000"/>
          <w:sz w:val="28"/>
        </w:rPr>
        <w:t>7.冀财政法【2021】62号关于提前下达2022年中央政法纪检监察转移支付资金的通知绩效目标表</w:t>
      </w:r>
      <w:bookmarkEnd w:id="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13102422P007789100052</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冀财政法【2021】62号关于提前下达2022年中央政法纪检监察转移支付资金的通知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19.66</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19.66</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用于司法行政办案业务和业务装备的购买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1.通过配备办案业务工作所必需基本手段和条件的装备及办案需要，提升办案质量和效率</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2.通过提高法律援助工作人员的工作能力和水平，不断提高法律援助办案效率和办案数量。</w:t>
            </w: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按照年度计划数量完成设备购置的比例。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设备购置合格率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购置的设备符合质量验收标准的比例。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按照年度计划时间完成设备购置的比例。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设备购置、工作开展成本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社区矫正对象再犯罪率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年度社区矫正对象再犯罪率人数与列管人数之比。</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≤0.2%</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调查问卷</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0" w:name="_Toc_4_4_0000000011"/>
      <w:r>
        <w:rPr>
          <w:rFonts w:hint="eastAsia" w:ascii="方正小标宋_GBK" w:hAnsi="方正小标宋_GBK" w:eastAsia="方正小标宋_GBK" w:cs="方正小标宋_GBK"/>
          <w:color w:val="000000"/>
          <w:sz w:val="28"/>
        </w:rPr>
        <w:t>8.冀财政法【2021】63号关于提前下达2022年省级基层公检法司转移支付资金的通知绩效目标表</w:t>
      </w:r>
      <w:bookmarkEnd w:id="1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13102422P00779010004J</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冀财政法【2021】63号关于提前下达2022年省级基层公检法司转移支付资金的通知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11.72</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11.72</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资金用于司法行政业务办案和业务装备的购置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1.通过提高法律援助工作人员的工作能力和水平，不断提高法律援助办案效率和办案数量。</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2."扩大法律援助覆盖面，推动全县法律援助工作长足发展。</w:t>
            </w: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通过配备办案业务工作所必需基本手段和条件的装备及办案需要，提升办案质量和效率"</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办理法律援助案件数量</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办理法律援助案件数量</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≥40件</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当年购置业务设备合格率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当年购置业务设备合格率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p>
            <w:pPr>
              <w:pStyle w:val="8"/>
              <w:rPr>
                <w:rFonts w:hint="eastAsia" w:ascii="方正小标宋_GBK" w:hAnsi="方正小标宋_GBK" w:eastAsia="方正小标宋_GBK" w:cs="方正小标宋_GBK"/>
              </w:rPr>
            </w:pP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重要节点开展普法宣传</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重要节点开展普法宣传率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≥80百分比</w:t>
            </w:r>
          </w:p>
          <w:p>
            <w:pPr>
              <w:pStyle w:val="8"/>
              <w:rPr>
                <w:rFonts w:hint="eastAsia" w:ascii="方正小标宋_GBK" w:hAnsi="方正小标宋_GBK" w:eastAsia="方正小标宋_GBK" w:cs="方正小标宋_GBK"/>
              </w:rPr>
            </w:pP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资金预算控制范围内</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资金预算控制范围内</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≤21万元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社区服刑人员再犯罪率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社区服刑人员再犯罪率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≤0.2百分比</w:t>
            </w:r>
          </w:p>
          <w:p>
            <w:pPr>
              <w:pStyle w:val="8"/>
              <w:rPr>
                <w:rFonts w:hint="eastAsia" w:ascii="方正小标宋_GBK" w:hAnsi="方正小标宋_GBK" w:eastAsia="方正小标宋_GBK" w:cs="方正小标宋_GBK"/>
              </w:rPr>
            </w:pP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有效投诉率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有效投诉率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≤2百分比</w:t>
            </w:r>
          </w:p>
          <w:p>
            <w:pPr>
              <w:pStyle w:val="8"/>
              <w:rPr>
                <w:rFonts w:hint="eastAsia" w:ascii="方正小标宋_GBK" w:hAnsi="方正小标宋_GBK" w:eastAsia="方正小标宋_GBK" w:cs="方正小标宋_GBK"/>
              </w:rPr>
            </w:pP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接受矛盾纠纷调解人员满意度比例</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接受矛盾纠纷调解人员满意度比例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p>
            <w:pPr>
              <w:pStyle w:val="8"/>
              <w:rPr>
                <w:rFonts w:hint="eastAsia" w:ascii="方正小标宋_GBK" w:hAnsi="方正小标宋_GBK" w:eastAsia="方正小标宋_GBK" w:cs="方正小标宋_GBK"/>
              </w:rPr>
            </w:pP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1" w:name="_Toc_4_4_0000000012"/>
      <w:r>
        <w:rPr>
          <w:rFonts w:hint="eastAsia" w:ascii="方正小标宋_GBK" w:hAnsi="方正小标宋_GBK" w:eastAsia="方正小标宋_GBK" w:cs="方正小标宋_GBK"/>
          <w:color w:val="000000"/>
          <w:sz w:val="28"/>
        </w:rPr>
        <w:t>9.冀财政法【2021】70号关于提前下达2022年社区矫正补助资金的通知绩效目标表</w:t>
      </w:r>
      <w:bookmarkEnd w:id="11"/>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13102422P00779110001D</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冀财政法【2021】70号关于提前下达2022年社区矫正补助资金的通知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0.98</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0.98</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用于社区矫正业务装备的购置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1.社区矫正工作以营造和谐稳定的社会环境为目标，以降低社区服刑人员重新犯罪率作为检验工作的首要标准，强化工作保障，规范工作程序，创新工作方法。</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采取多种形式，对社区服刑人员进行思想教育、法制教育和道德教育，矫正其不良心理和行为，促使其成为守法公民。做好对社区矫正对象的日常监督管理，坚持按规定组织社服刑人员参加集中教育活动，坚持周汇报、月报到制度，积极组织其参加公益劳动。</w:t>
            </w: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社区矫正人数(人）</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社区矫正人数(人）</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≥210人</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通过查看矫正人员台账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服刑人员信息核查率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服刑人员信息核查率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≥98百分比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通过查看矫正人员台账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资金预算控制范围内</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资金预算控制范围内</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≤5.29万元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社区服刑人员再犯罪率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社区服刑人员再犯罪率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≤0.2百分比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有效投诉率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有效投诉率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上级部门满意度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上级部门满意度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2" w:name="_Toc_4_4_0000000013"/>
      <w:r>
        <w:rPr>
          <w:rFonts w:hint="eastAsia" w:ascii="方正小标宋_GBK" w:hAnsi="方正小标宋_GBK" w:eastAsia="方正小标宋_GBK" w:cs="方正小标宋_GBK"/>
          <w:color w:val="000000"/>
          <w:sz w:val="28"/>
        </w:rPr>
        <w:t>10.冀财政法【2022】29号-关于下达2022年第二批中央政法转移支付资金的通知绩效目标表</w:t>
      </w:r>
      <w:bookmarkEnd w:id="12"/>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13102422P00809710004N</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冀财政法【2022】29号-关于下达2022年第二批中央政法转移支付资金的通知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11.00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11.00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资金用于司法行政办案业务、业务装备的购买和法律援助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1.通过配备办案业务工作所必需基本手段和条件的装备及办案需要，提升办案质量和效率</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2.通过提高法律援助工作人员的工作能力和水平，不断提高法律援助办案效率和办案数量。</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按照年度计划数量完成设备购置的比例。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设备购置合格率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购置的设备符合质量验收标准的比例。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按照年度计划时间完成设备购置的比例。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设备购置、工作开展成本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各项支出不高于市场价且符合财务规定</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社区矫正对象再犯罪率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年度社区矫正对象再犯罪率人数与列管人数之比。</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≤0.2%</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维护社会稳定发展</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调查问卷</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3" w:name="_Toc_4_4_0000000014"/>
      <w:r>
        <w:rPr>
          <w:rFonts w:hint="eastAsia" w:ascii="方正小标宋_GBK" w:hAnsi="方正小标宋_GBK" w:eastAsia="方正小标宋_GBK" w:cs="方正小标宋_GBK"/>
          <w:color w:val="000000"/>
          <w:sz w:val="28"/>
        </w:rPr>
        <w:t>11.普法宣传经费绩效目标表</w:t>
      </w:r>
      <w:bookmarkEnd w:id="13"/>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13102423P00E30U10003Q</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普法宣传经费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8.10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8.10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主要用于普法宣传资料、宣传品、宣传展牌的印制。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1.通过项目的开展完成普法活动的督导验收及组织宣传活动、印发宣传资料，提高领导干部法律考试通过率。</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组织主题宣传活动场次</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组织主题宣传活动，普及法律知识活动次数</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≥3次</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组织活动台账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保障普法宣传工作正常开展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保障普法宣传工作正常开展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符合县法宣办工作要求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6月底前完成50%，12月底完成100%</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365天</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符合县法宣办工作要求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普法宣传费</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月均费用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≤1.5万元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保障普法宣传工作正常开展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保障普法宣传工作正常开展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符合县法宣办工作要求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不适用0不适用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生态效益指标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不适用0不适用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保障普法宣传工作正常开展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保障普法宣传工作正常开展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符合县法宣办工作要求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参加普法人员工作满意度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参加普法人员工作满意度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4" w:name="_Toc_4_4_0000000015"/>
      <w:r>
        <w:rPr>
          <w:rFonts w:hint="eastAsia" w:ascii="方正小标宋_GBK" w:hAnsi="方正小标宋_GBK" w:eastAsia="方正小标宋_GBK" w:cs="方正小标宋_GBK"/>
          <w:color w:val="000000"/>
          <w:sz w:val="28"/>
        </w:rPr>
        <w:t>12.人民调解“以案定补”经费绩效目标表</w:t>
      </w:r>
      <w:bookmarkEnd w:id="14"/>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13102423P00R4CC100042</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人民调解“以案定补”经费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主要用于支付2023年人民调解员案件补贴等。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1.通过本年度人民调解经费支出，调动广大调解员积极性，保证群体性事件成功处置率达到90%以上，调解案件群众满意度达90%以上，最大限度降低重新违法犯罪和社会不稳定因素发生率。</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2.通过本年度人民调解经费支出，调动广大调解员积极性，保证调解案件800件以上。</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人民调解案件数（件）</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人民调解案件数量</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≥800件</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案件执结率(%)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案件执结数占案件总数的比率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总成本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总成本</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调解成功率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调解成功率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取得的社会效果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不适用0不适用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生态效益指标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不适用0不适用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≥95%</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群众满意度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通过抽样调查的方式，对接受调解的人员进行调查，达到满意程度的比例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5" w:name="_Toc_4_4_0000000016"/>
      <w:r>
        <w:rPr>
          <w:rFonts w:hint="eastAsia" w:ascii="方正小标宋_GBK" w:hAnsi="方正小标宋_GBK" w:eastAsia="方正小标宋_GBK" w:cs="方正小标宋_GBK"/>
          <w:color w:val="000000"/>
          <w:sz w:val="28"/>
        </w:rPr>
        <w:t>13.人民调解经费绩效目标表</w:t>
      </w:r>
      <w:bookmarkEnd w:id="15"/>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13102423P00B01110003D</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人民调解经费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16.00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16.00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主要用于医调委工作人员工资的足额发放及各项保险的正常缴纳、医调委和人民调解工作各项业务的正常开展。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1."保障医疗纠纷人民调解委员会调解员足额发放工资，保障日常办公。</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2."保障人民调解工作的正常开展。</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医调委调解员人员数</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发放医调委调解员工资</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≥3人</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医调委调解员出勤率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医调委调解员出勤率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月成本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月成本</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≤1.41万元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调解覆盖率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调解覆盖率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p>
            <w:pPr>
              <w:pStyle w:val="8"/>
              <w:rPr>
                <w:rFonts w:hint="eastAsia" w:ascii="方正小标宋_GBK" w:hAnsi="方正小标宋_GBK" w:eastAsia="方正小标宋_GBK" w:cs="方正小标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不适用0不适用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生态效益指标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不适用0不适用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任务计划完成率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任务计划完成率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医院、群众满意度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通过抽样调查的方式，对接受调解的人员进行调查，达到满意程度的比例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6" w:name="_Toc_4_4_0000000017"/>
      <w:r>
        <w:rPr>
          <w:rFonts w:hint="eastAsia" w:ascii="方正小标宋_GBK" w:hAnsi="方正小标宋_GBK" w:eastAsia="方正小标宋_GBK" w:cs="方正小标宋_GBK"/>
          <w:color w:val="000000"/>
          <w:sz w:val="28"/>
        </w:rPr>
        <w:t>14.扫黑除恶工作经费绩效目标表</w:t>
      </w:r>
      <w:bookmarkEnd w:id="16"/>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13102423P00F77B100032</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扫黑除恶工作经费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主要用于印制扫黑除恶宣传资料、印制扫黑除恶宣传展牌等。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30%</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1.目标内容1</w:t>
            </w: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组织宣传活动次数（次）</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组织宣传活动次数</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≥6次</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群众对扫黑除恶专项斗争的知晓率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通过抽样调查的方式，达到知晓程度的比例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工作开展时间</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工作开展时间</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每次组织宣传成本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每次组织宣传成本</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≤0.5万元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保障宣传工作正常开展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保障宣传工作正常开展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生态效益指标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群众对扫黑除恶专项斗争的知晓率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群众对扫黑除恶专项斗争的知晓率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问卷调查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7" w:name="_Toc_4_4_0000000018"/>
      <w:r>
        <w:rPr>
          <w:rFonts w:hint="eastAsia" w:ascii="方正小标宋_GBK" w:hAnsi="方正小标宋_GBK" w:eastAsia="方正小标宋_GBK" w:cs="方正小标宋_GBK"/>
          <w:color w:val="000000"/>
          <w:sz w:val="28"/>
        </w:rPr>
        <w:t>15.社区矫正工作经费绩效目标表</w:t>
      </w:r>
      <w:bookmarkEnd w:id="17"/>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13102423P0014A010003X</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主要用于社区矫正和安置帮教各项业务经费的支出。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采取多种形式，对社区服刑人员进行思想教育、法制教育和道德教育，矫正其不良心理和行为，促使其成为守法公民。做好对社区矫正对象的日常监督管理，坚持按规定组织社服刑人员参加集中教育活动，坚持周汇报、月报到制度，积极组织其参加公益劳动。</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2.社区矫正工作以营造和谐稳定的社会环境为目标，以降低社区服刑人员重新犯罪率作为检验工作的首要标准，强化工作保障，规范工作程序，创新工作方法。</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社区矫正人数(人）</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社区矫正人数(人）</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≥210人</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通过查看矫正人员台账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服刑人员信息核查率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服刑人员信息核查率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≥98百分比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通过查看矫正人员台账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设备购置及时率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资金预算控制范围内</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资金预算控制范围内</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≤5.29万元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社区服刑人员再犯罪率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社区服刑人员再犯罪率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≤0.2百分比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有效投诉率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有效投诉率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上级部门满意度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8" w:name="_Toc_4_4_0000000019"/>
      <w:r>
        <w:rPr>
          <w:rFonts w:hint="eastAsia" w:ascii="方正小标宋_GBK" w:hAnsi="方正小标宋_GBK" w:eastAsia="方正小标宋_GBK" w:cs="方正小标宋_GBK"/>
          <w:color w:val="000000"/>
          <w:sz w:val="28"/>
        </w:rPr>
        <w:t>16.司法局“一村（居）一法律顾问”专项经费绩效目标表</w:t>
      </w:r>
      <w:bookmarkEnd w:id="18"/>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13102423P00YBFK10004J</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司法局“一村（居）一法律顾问”专项经费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23.00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23.00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主要用于发放2023年一村居一法律顾问补贴。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1.通过开展一村（居）一法律顾问工作，法律顾问到老百姓身边为老百姓解答法律问题，进行法律知识讲座，调解邻里纠纷，把矛盾化解在基层。</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2.通过在全县开展一村(居)一法律顾问活动，为老百姓提供更加便捷的法律帮助。</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开展法律宣讲、法律咨询、矛盾化解</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开展法律宣讲、法律咨询、矛盾化解</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≥12次</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法律宣讲、咨询解答、化解矛盾</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法律宣讲、咨询解答、化解矛盾</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签订合同时间</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签订合同时间</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签订合同时间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资金预算控制范围内</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资金预算控制范围内</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≤21万元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村居顾问覆盖率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村居顾问覆盖率（法律顾问入村居数量与实际总体村居数量比）</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法律讲座普及率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法律讲座普及率（法律讲座入村居数量与实际总体村居数量比）</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群众满意度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通过抽样调查的方式，对接受服务的人员进行调查，达到满意程度的比例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19" w:name="_Toc_4_4_0000000020"/>
      <w:r>
        <w:rPr>
          <w:rFonts w:hint="eastAsia" w:ascii="方正小标宋_GBK" w:hAnsi="方正小标宋_GBK" w:eastAsia="方正小标宋_GBK" w:cs="方正小标宋_GBK"/>
          <w:color w:val="000000"/>
          <w:sz w:val="28"/>
        </w:rPr>
        <w:t>17.司法局法律援助律师补贴绩效目标表</w:t>
      </w:r>
      <w:bookmarkEnd w:id="19"/>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13102423P00D88810003T</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司法局法律援助律师补贴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用于2023年度律师坐班补贴的发放。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1.通过开展律师坐班工作，推动全县法律援助工作长足发展。</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2.通过开展律师坐班为信访人无偿提供法律咨询、解疑释惑、困难救助申请活动，扩大了法律援助覆盖面。</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律师驻群众工作中心接待信访值班时间</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律师驻群众工作中心接待信访值班时间</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≥250天</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保障工作正常开展</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保障工作正常开展</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≥250天</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工作按时完成率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≥90比率</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日律师坐班补贴成本</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日律师坐班补贴成本</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200元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法律援助覆盖率不断扩大</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法律援助覆盖率不断扩大</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≥90比率</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取得的实际效果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任务完成率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任务完成率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≥90比率</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取得的实际效果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群众满意度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通过抽样调查的方式，对接受服务的人员进行调查，达到满意程度的比例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≥90比率</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服务对象满意度调查</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8"/>
        </w:rPr>
        <w:t xml:space="preserve"> </w:t>
      </w:r>
    </w:p>
    <w:p>
      <w:pPr>
        <w:ind w:firstLine="560"/>
        <w:outlineLvl w:val="3"/>
        <w:rPr>
          <w:rFonts w:hint="eastAsia" w:ascii="方正小标宋_GBK" w:hAnsi="方正小标宋_GBK" w:eastAsia="方正小标宋_GBK" w:cs="方正小标宋_GBK"/>
        </w:rPr>
      </w:pPr>
      <w:bookmarkStart w:id="20" w:name="_Toc_4_4_0000000021"/>
      <w:r>
        <w:rPr>
          <w:rFonts w:hint="eastAsia" w:ascii="方正小标宋_GBK" w:hAnsi="方正小标宋_GBK" w:eastAsia="方正小标宋_GBK" w:cs="方正小标宋_GBK"/>
          <w:color w:val="000000"/>
          <w:sz w:val="28"/>
        </w:rPr>
        <w:t>18.政府法制专项经费绩效目标表</w:t>
      </w:r>
      <w:bookmarkEnd w:id="20"/>
    </w:p>
    <w:tbl>
      <w:tblPr>
        <w:tblStyle w:val="2"/>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43"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608"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13102423P009K6F10003Y</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422"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政府法制专项经费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28.00</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30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28.00</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主要用于支付执法人员培训费、政府法律顾问聘请费、执法监督股、行政复议股和法治调研与秘书股的其他业务支出。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60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87"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304"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18"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rFonts w:hint="eastAsia" w:ascii="方正小标宋_GBK" w:hAnsi="方正小标宋_GBK" w:eastAsia="方正小标宋_GBK" w:cs="方正小标宋_GBK"/>
              </w:rPr>
            </w:pPr>
          </w:p>
        </w:tc>
        <w:tc>
          <w:tcPr>
            <w:tcW w:w="260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87"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304"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18"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617"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1.通过依法受理并办理行政复议案件，办理行政诉讼、裁决案件，及时纠正各级行政机关违法不当行为，保障申请人合法权益，推动依法行政。</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2.通过项目的开展完成执法人员培训考试，政府行为进行法律审查，实现确保公正、文明执法；保障行政执法网站专栏正常运行。</w:t>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r>
              <w:rPr>
                <w:rFonts w:hint="eastAsia" w:ascii="方正小标宋_GBK" w:hAnsi="方正小标宋_GBK" w:eastAsia="方正小标宋_GBK" w:cs="方正小标宋_GBK"/>
              </w:rPr>
              <w:tab/>
            </w:r>
          </w:p>
          <w:p>
            <w:pPr>
              <w:pStyle w:val="8"/>
              <w:rPr>
                <w:rFonts w:hint="eastAsia" w:ascii="方正小标宋_GBK" w:hAnsi="方正小标宋_GBK" w:eastAsia="方正小标宋_GBK" w:cs="方正小标宋_GBK"/>
              </w:rPr>
            </w:pP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培训参加人次</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培训参加人次</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≥950人次</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执法人员台账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合格率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合格比率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≥80百分比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需出具法律意见文件</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需出具法律意见文件</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12月数</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预算控制范围内</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预算控制范围内</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≤28万元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规范执法、政府行为</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规范执法、政府行为</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执法案卷规范率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全年服务天数（≥240天）</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全年服务天数（≥240天）</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≥240天</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法制机构工作人员满意度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法制机构工作人员满意度</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≥90百分比</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满意度调查问卷</w:t>
            </w:r>
          </w:p>
        </w:tc>
      </w:tr>
    </w:tbl>
    <w:p>
      <w:pPr>
        <w:rPr>
          <w:rFonts w:hint="eastAsia" w:ascii="方正小标宋_GBK" w:hAnsi="方正小标宋_GBK" w:eastAsia="方正小标宋_GBK" w:cs="方正小标宋_GBK"/>
        </w:rPr>
        <w:sectPr>
          <w:pgSz w:w="16840" w:h="11900" w:orient="landscape"/>
          <w:pgMar w:top="1304" w:right="1984" w:bottom="1304" w:left="1134" w:header="720" w:footer="720" w:gutter="0"/>
          <w:cols w:space="720" w:num="1"/>
        </w:sectPr>
      </w:pPr>
    </w:p>
    <w:p>
      <w:pPr>
        <w:jc w:val="both"/>
        <w:rPr>
          <w:rFonts w:hint="eastAsia" w:ascii="方正小标宋_GBK" w:hAnsi="方正小标宋_GBK" w:eastAsia="方正小标宋_GBK" w:cs="方正小标宋_GBK"/>
        </w:rPr>
      </w:pPr>
      <w:bookmarkStart w:id="21" w:name="_Toc_4_4_0000000022"/>
      <w:r>
        <w:rPr>
          <w:rFonts w:hint="eastAsia" w:ascii="方正小标宋_GBK" w:hAnsi="方正小标宋_GBK" w:eastAsia="方正小标宋_GBK" w:cs="方正小标宋_GBK"/>
          <w:color w:val="000000"/>
          <w:sz w:val="28"/>
        </w:rPr>
        <w:t>19.综合保障工作经费绩效目标表</w:t>
      </w:r>
      <w:bookmarkEnd w:id="21"/>
    </w:p>
    <w:tbl>
      <w:tblPr>
        <w:tblStyle w:val="2"/>
        <w:tblW w:w="983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9"/>
        <w:gridCol w:w="1269"/>
        <w:gridCol w:w="1324"/>
        <w:gridCol w:w="1578"/>
        <w:gridCol w:w="1296"/>
        <w:gridCol w:w="1271"/>
        <w:gridCol w:w="18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8007" w:type="dxa"/>
            <w:gridSpan w:val="6"/>
            <w:tcBorders>
              <w:top w:val="single" w:color="FFFFFF" w:sz="6" w:space="0"/>
              <w:left w:val="single" w:color="FFFFFF" w:sz="6" w:space="0"/>
              <w:right w:val="single" w:color="FFFFFF" w:sz="6" w:space="0"/>
            </w:tcBorders>
            <w:vAlign w:val="center"/>
          </w:tcPr>
          <w:p>
            <w:pPr>
              <w:pStyle w:val="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315001香河县司法局本级</w:t>
            </w:r>
          </w:p>
        </w:tc>
        <w:tc>
          <w:tcPr>
            <w:tcW w:w="1832" w:type="dxa"/>
            <w:tcBorders>
              <w:top w:val="single" w:color="FFFFFF" w:sz="6" w:space="0"/>
              <w:left w:val="single" w:color="FFFFFF" w:sz="6" w:space="0"/>
              <w:right w:val="single" w:color="FFFFFF" w:sz="6" w:space="0"/>
            </w:tcBorders>
            <w:vAlign w:val="center"/>
          </w:tcPr>
          <w:p>
            <w:pPr>
              <w:pStyle w:val="9"/>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atLeast"/>
          <w:jc w:val="center"/>
        </w:trPr>
        <w:tc>
          <w:tcPr>
            <w:tcW w:w="1269"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项目编码</w:t>
            </w:r>
          </w:p>
        </w:tc>
        <w:tc>
          <w:tcPr>
            <w:tcW w:w="2593" w:type="dxa"/>
            <w:gridSpan w:val="2"/>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13102423P001R6D10003D</w:t>
            </w:r>
          </w:p>
        </w:tc>
        <w:tc>
          <w:tcPr>
            <w:tcW w:w="1578"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4399" w:type="dxa"/>
            <w:gridSpan w:val="3"/>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atLeast"/>
          <w:jc w:val="center"/>
        </w:trPr>
        <w:tc>
          <w:tcPr>
            <w:tcW w:w="1269"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预算规模及资金用途</w:t>
            </w:r>
          </w:p>
        </w:tc>
        <w:tc>
          <w:tcPr>
            <w:tcW w:w="1269"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预算数</w:t>
            </w:r>
          </w:p>
        </w:tc>
        <w:tc>
          <w:tcPr>
            <w:tcW w:w="1324"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20.00</w:t>
            </w:r>
          </w:p>
        </w:tc>
        <w:tc>
          <w:tcPr>
            <w:tcW w:w="1578"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其中：财政    资金</w:t>
            </w:r>
          </w:p>
        </w:tc>
        <w:tc>
          <w:tcPr>
            <w:tcW w:w="129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20.00</w:t>
            </w:r>
          </w:p>
        </w:tc>
        <w:tc>
          <w:tcPr>
            <w:tcW w:w="127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其他资金</w:t>
            </w:r>
          </w:p>
        </w:tc>
        <w:tc>
          <w:tcPr>
            <w:tcW w:w="18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atLeast"/>
          <w:jc w:val="center"/>
        </w:trPr>
        <w:tc>
          <w:tcPr>
            <w:tcW w:w="1269" w:type="dxa"/>
            <w:vMerge w:val="continue"/>
          </w:tcPr>
          <w:p>
            <w:pPr>
              <w:rPr>
                <w:rFonts w:hint="eastAsia" w:ascii="方正小标宋_GBK" w:hAnsi="方正小标宋_GBK" w:eastAsia="方正小标宋_GBK" w:cs="方正小标宋_GBK"/>
              </w:rPr>
            </w:pPr>
          </w:p>
        </w:tc>
        <w:tc>
          <w:tcPr>
            <w:tcW w:w="8570"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主要用于支付机关各项网络费用等维持机关正常运行的相关费用。保证司法行政各项业务顺利完成。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8" w:hRule="atLeast"/>
          <w:jc w:val="center"/>
        </w:trPr>
        <w:tc>
          <w:tcPr>
            <w:tcW w:w="1269" w:type="dxa"/>
            <w:vMerge w:val="restart"/>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资金支出计划（%）</w:t>
            </w:r>
          </w:p>
        </w:tc>
        <w:tc>
          <w:tcPr>
            <w:tcW w:w="2593"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3月底</w:t>
            </w:r>
          </w:p>
        </w:tc>
        <w:tc>
          <w:tcPr>
            <w:tcW w:w="1578"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6月底</w:t>
            </w:r>
          </w:p>
        </w:tc>
        <w:tc>
          <w:tcPr>
            <w:tcW w:w="129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10月底</w:t>
            </w:r>
          </w:p>
        </w:tc>
        <w:tc>
          <w:tcPr>
            <w:tcW w:w="3103" w:type="dxa"/>
            <w:gridSpan w:val="2"/>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269" w:type="dxa"/>
            <w:vMerge w:val="continue"/>
          </w:tcPr>
          <w:p>
            <w:pPr>
              <w:rPr>
                <w:rFonts w:hint="eastAsia" w:ascii="方正小标宋_GBK" w:hAnsi="方正小标宋_GBK" w:eastAsia="方正小标宋_GBK" w:cs="方正小标宋_GBK"/>
              </w:rPr>
            </w:pPr>
          </w:p>
        </w:tc>
        <w:tc>
          <w:tcPr>
            <w:tcW w:w="2593"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25%</w:t>
            </w:r>
          </w:p>
        </w:tc>
        <w:tc>
          <w:tcPr>
            <w:tcW w:w="1578"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50%</w:t>
            </w:r>
          </w:p>
        </w:tc>
        <w:tc>
          <w:tcPr>
            <w:tcW w:w="129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75%</w:t>
            </w:r>
          </w:p>
        </w:tc>
        <w:tc>
          <w:tcPr>
            <w:tcW w:w="3103" w:type="dxa"/>
            <w:gridSpan w:val="2"/>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1269"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绩效目标</w:t>
            </w:r>
          </w:p>
        </w:tc>
        <w:tc>
          <w:tcPr>
            <w:tcW w:w="8570" w:type="dxa"/>
            <w:gridSpan w:val="6"/>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1.目标内容1</w:t>
            </w:r>
          </w:p>
        </w:tc>
      </w:tr>
    </w:tbl>
    <w:tbl>
      <w:tblPr>
        <w:tblStyle w:val="2"/>
        <w:tblpPr w:leftFromText="180" w:rightFromText="180" w:vertAnchor="text" w:horzAnchor="page" w:tblpX="3585" w:tblpY="99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一级指标</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二级指标</w:t>
            </w:r>
          </w:p>
        </w:tc>
        <w:tc>
          <w:tcPr>
            <w:tcW w:w="1332"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三级指标</w:t>
            </w:r>
          </w:p>
        </w:tc>
        <w:tc>
          <w:tcPr>
            <w:tcW w:w="2891"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绩效指标描述</w:t>
            </w:r>
          </w:p>
        </w:tc>
        <w:tc>
          <w:tcPr>
            <w:tcW w:w="1276"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w:t>
            </w:r>
          </w:p>
        </w:tc>
        <w:tc>
          <w:tcPr>
            <w:tcW w:w="1843" w:type="dxa"/>
            <w:vAlign w:val="center"/>
          </w:tcPr>
          <w:p>
            <w:pPr>
              <w:pStyle w:val="4"/>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产出指标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综合保障次数</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综合保障次数</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≥1次/日</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质量指标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综合保障覆盖率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综合保障覆盖的比例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时效指标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完成率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当年综合保障工作的完成情况</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成本指标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月资金控制范围</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月资金控制范围</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≤1.67万元</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restart"/>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效益指标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社会效益指标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综合保障覆盖率</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综合保障覆盖的比例</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经济效益指标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生态效益指标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Merge w:val="continue"/>
            <w:vAlign w:val="center"/>
          </w:tcPr>
          <w:p>
            <w:pPr>
              <w:rPr>
                <w:rFonts w:hint="eastAsia" w:ascii="方正小标宋_GBK" w:hAnsi="方正小标宋_GBK" w:eastAsia="方正小标宋_GBK" w:cs="方正小标宋_GBK"/>
              </w:rPr>
            </w:pP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可持续影响指标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综合保障工作的时长</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综合保障工作的时长</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1年</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276" w:type="dxa"/>
            <w:vAlign w:val="center"/>
          </w:tcPr>
          <w:p>
            <w:pPr>
              <w:pStyle w:val="1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满意度指标</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服务对象满意度指标</w:t>
            </w:r>
          </w:p>
        </w:tc>
        <w:tc>
          <w:tcPr>
            <w:tcW w:w="1332"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工作人员满意度</w:t>
            </w:r>
          </w:p>
        </w:tc>
        <w:tc>
          <w:tcPr>
            <w:tcW w:w="2891"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工作人员对综合保障的满意情况</w:t>
            </w:r>
          </w:p>
        </w:tc>
        <w:tc>
          <w:tcPr>
            <w:tcW w:w="1276"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≥90%</w:t>
            </w:r>
          </w:p>
        </w:tc>
        <w:tc>
          <w:tcPr>
            <w:tcW w:w="1843" w:type="dxa"/>
            <w:vAlign w:val="center"/>
          </w:tcPr>
          <w:p>
            <w:pPr>
              <w:pStyle w:val="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问卷调查</w:t>
            </w:r>
          </w:p>
        </w:tc>
      </w:tr>
    </w:tbl>
    <w:p>
      <w:pPr>
        <w:spacing w:line="2"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sz w:val="21"/>
        </w:rPr>
        <w:t xml:space="preserve"> </w:t>
      </w:r>
    </w:p>
    <w:p>
      <w:pPr>
        <w:rPr>
          <w:rFonts w:hint="eastAsia" w:ascii="方正小标宋_GBK" w:hAnsi="方正小标宋_GBK" w:eastAsia="方正小标宋_GBK" w:cs="方正小标宋_GBK"/>
        </w:rPr>
      </w:pPr>
    </w:p>
    <w:p>
      <w:p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numPr>
          <w:ilvl w:val="0"/>
          <w:numId w:val="0"/>
        </w:numPr>
        <w:autoSpaceDE w:val="0"/>
        <w:autoSpaceDN w:val="0"/>
        <w:adjustRightInd w:val="0"/>
        <w:spacing w:line="584" w:lineRule="exact"/>
        <w:jc w:val="left"/>
        <w:rPr>
          <w:rFonts w:hint="eastAsia" w:ascii="方正小标宋_GBK" w:hAnsi="方正小标宋_GBK" w:eastAsia="方正小标宋_GBK" w:cs="方正小标宋_GBK"/>
          <w:sz w:val="32"/>
          <w:szCs w:val="32"/>
        </w:rPr>
      </w:pPr>
    </w:p>
    <w:p>
      <w:pPr>
        <w:numPr>
          <w:ilvl w:val="0"/>
          <w:numId w:val="0"/>
        </w:numPr>
        <w:autoSpaceDE w:val="0"/>
        <w:autoSpaceDN w:val="0"/>
        <w:adjustRightInd w:val="0"/>
        <w:spacing w:line="584" w:lineRule="exact"/>
        <w:jc w:val="left"/>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政府采购预算情况</w:t>
      </w:r>
    </w:p>
    <w:p>
      <w:pPr>
        <w:spacing w:line="584" w:lineRule="exact"/>
        <w:ind w:firstLine="640" w:firstLineChars="200"/>
        <w:outlineLvl w:val="0"/>
        <w:rPr>
          <w:rFonts w:hint="eastAsia" w:ascii="方正小标宋_GBK" w:hAnsi="方正小标宋_GBK" w:eastAsia="方正小标宋_GBK" w:cs="方正小标宋_GBK"/>
          <w:sz w:val="32"/>
          <w:szCs w:val="24"/>
        </w:rPr>
      </w:pPr>
      <w:bookmarkStart w:id="22" w:name="_Toc471398468"/>
      <w:r>
        <w:rPr>
          <w:rFonts w:hint="eastAsia" w:ascii="方正小标宋_GBK" w:hAnsi="方正小标宋_GBK" w:eastAsia="方正小标宋_GBK" w:cs="方正小标宋_GBK"/>
          <w:sz w:val="32"/>
          <w:szCs w:val="24"/>
        </w:rPr>
        <w:t>2023年，我部门安排政府采购预算</w:t>
      </w:r>
      <w:r>
        <w:rPr>
          <w:rFonts w:hint="eastAsia" w:ascii="方正小标宋_GBK" w:hAnsi="方正小标宋_GBK" w:eastAsia="方正小标宋_GBK" w:cs="方正小标宋_GBK"/>
          <w:sz w:val="32"/>
          <w:szCs w:val="24"/>
          <w:lang w:val="en-US" w:eastAsia="zh-CN"/>
        </w:rPr>
        <w:t>0</w:t>
      </w:r>
      <w:r>
        <w:rPr>
          <w:rFonts w:hint="eastAsia" w:ascii="方正小标宋_GBK" w:hAnsi="方正小标宋_GBK" w:eastAsia="方正小标宋_GBK" w:cs="方正小标宋_GBK"/>
          <w:sz w:val="32"/>
          <w:szCs w:val="24"/>
        </w:rPr>
        <w:t>万元。具体内容见下表。</w:t>
      </w:r>
    </w:p>
    <w:bookmarkEnd w:id="22"/>
    <w:p>
      <w:pPr>
        <w:spacing w:line="584" w:lineRule="exact"/>
        <w:ind w:firstLine="5120" w:firstLineChars="1600"/>
        <w:jc w:val="both"/>
        <w:outlineLvl w:val="1"/>
        <w:rPr>
          <w:rFonts w:hint="eastAsia" w:ascii="方正小标宋_GBK" w:hAnsi="方正小标宋_GBK" w:eastAsia="方正小标宋_GBK" w:cs="方正小标宋_GBK"/>
          <w:sz w:val="32"/>
        </w:rPr>
      </w:pPr>
      <w:bookmarkStart w:id="23" w:name="_Toc64920910"/>
      <w:r>
        <w:rPr>
          <w:rFonts w:hint="eastAsia" w:ascii="方正小标宋_GBK" w:hAnsi="方正小标宋_GBK" w:eastAsia="方正小标宋_GBK" w:cs="方正小标宋_GBK"/>
          <w:sz w:val="32"/>
        </w:rPr>
        <w:t>部门政府采购预算</w:t>
      </w:r>
      <w:bookmarkEnd w:id="23"/>
    </w:p>
    <w:p>
      <w:pPr>
        <w:spacing w:line="584" w:lineRule="exact"/>
        <w:outlineLvl w:val="1"/>
        <w:rPr>
          <w:rFonts w:hint="eastAsia" w:ascii="方正小标宋_GBK" w:hAnsi="方正小标宋_GBK" w:eastAsia="方正小标宋_GBK" w:cs="方正小标宋_GBK"/>
          <w:sz w:val="32"/>
        </w:rPr>
      </w:pPr>
      <w:r>
        <w:rPr>
          <w:rFonts w:hint="eastAsia" w:ascii="方正小标宋_GBK" w:hAnsi="方正小标宋_GBK" w:eastAsia="方正小标宋_GBK" w:cs="方正小标宋_GBK"/>
          <w:lang w:val="en-US" w:eastAsia="zh-CN"/>
        </w:rPr>
        <w:t>香河县司法局</w:t>
      </w:r>
      <w:r>
        <w:rPr>
          <w:rFonts w:hint="eastAsia" w:ascii="方正小标宋_GBK" w:hAnsi="方正小标宋_GBK" w:eastAsia="方正小标宋_GBK" w:cs="方正小标宋_GBK"/>
        </w:rPr>
        <w:t xml:space="preserve">                                                                                                          </w:t>
      </w:r>
      <w:r>
        <w:rPr>
          <w:rFonts w:hint="eastAsia" w:ascii="方正小标宋_GBK" w:hAnsi="方正小标宋_GBK" w:eastAsia="方正小标宋_GBK" w:cs="方正小标宋_GBK"/>
          <w:lang w:val="en-US" w:eastAsia="zh-CN"/>
        </w:rPr>
        <w:t xml:space="preserve">                                     </w:t>
      </w:r>
      <w:r>
        <w:rPr>
          <w:rFonts w:hint="eastAsia" w:ascii="方正小标宋_GBK" w:hAnsi="方正小标宋_GBK" w:eastAsia="方正小标宋_GBK" w:cs="方正小标宋_GBK"/>
        </w:rPr>
        <w:t>单位：万元</w:t>
      </w:r>
    </w:p>
    <w:tbl>
      <w:tblPr>
        <w:tblStyle w:val="2"/>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政府采购项目来源</w:t>
            </w:r>
          </w:p>
        </w:tc>
        <w:tc>
          <w:tcPr>
            <w:tcW w:w="1134" w:type="dxa"/>
            <w:vMerge w:val="restart"/>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采购物品名称</w:t>
            </w:r>
          </w:p>
        </w:tc>
        <w:tc>
          <w:tcPr>
            <w:tcW w:w="1134" w:type="dxa"/>
            <w:vMerge w:val="restart"/>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政府采购目录序号</w:t>
            </w:r>
          </w:p>
        </w:tc>
        <w:tc>
          <w:tcPr>
            <w:tcW w:w="709" w:type="dxa"/>
            <w:vMerge w:val="restart"/>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计量  单位</w:t>
            </w:r>
          </w:p>
        </w:tc>
        <w:tc>
          <w:tcPr>
            <w:tcW w:w="850" w:type="dxa"/>
            <w:vMerge w:val="restart"/>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数量</w:t>
            </w:r>
          </w:p>
        </w:tc>
        <w:tc>
          <w:tcPr>
            <w:tcW w:w="850" w:type="dxa"/>
            <w:vMerge w:val="restart"/>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单价</w:t>
            </w:r>
          </w:p>
        </w:tc>
        <w:tc>
          <w:tcPr>
            <w:tcW w:w="7712" w:type="dxa"/>
            <w:gridSpan w:val="8"/>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政府采购金额（当年部门预算安排资金）</w:t>
            </w:r>
          </w:p>
        </w:tc>
        <w:tc>
          <w:tcPr>
            <w:tcW w:w="964" w:type="dxa"/>
            <w:vMerge w:val="restart"/>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202</w:t>
            </w:r>
            <w:r>
              <w:rPr>
                <w:rFonts w:hint="eastAsia" w:ascii="方正小标宋_GBK" w:hAnsi="方正小标宋_GBK" w:eastAsia="方正小标宋_GBK" w:cs="方正小标宋_GBK"/>
                <w:lang w:eastAsia="zh-CN"/>
              </w:rPr>
              <w:t>3</w:t>
            </w:r>
            <w:r>
              <w:rPr>
                <w:rFonts w:hint="eastAsia" w:ascii="方正小标宋_GBK" w:hAnsi="方正小标宋_GBK" w:eastAsia="方正小标宋_GBK" w:cs="方正小标宋_GBK"/>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项目名称</w:t>
            </w: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预算    资金</w:t>
            </w:r>
          </w:p>
        </w:tc>
        <w:tc>
          <w:tcPr>
            <w:tcW w:w="1134" w:type="dxa"/>
            <w:vMerge w:val="continue"/>
          </w:tcPr>
          <w:p>
            <w:pPr>
              <w:spacing w:line="584" w:lineRule="exact"/>
              <w:rPr>
                <w:rFonts w:hint="eastAsia" w:ascii="方正小标宋_GBK" w:hAnsi="方正小标宋_GBK" w:eastAsia="方正小标宋_GBK" w:cs="方正小标宋_GBK"/>
              </w:rPr>
            </w:pPr>
          </w:p>
        </w:tc>
        <w:tc>
          <w:tcPr>
            <w:tcW w:w="1134" w:type="dxa"/>
            <w:vMerge w:val="continue"/>
          </w:tcPr>
          <w:p>
            <w:pPr>
              <w:spacing w:line="584" w:lineRule="exact"/>
              <w:rPr>
                <w:rFonts w:hint="eastAsia" w:ascii="方正小标宋_GBK" w:hAnsi="方正小标宋_GBK" w:eastAsia="方正小标宋_GBK" w:cs="方正小标宋_GBK"/>
              </w:rPr>
            </w:pPr>
          </w:p>
        </w:tc>
        <w:tc>
          <w:tcPr>
            <w:tcW w:w="709" w:type="dxa"/>
            <w:vMerge w:val="continue"/>
          </w:tcPr>
          <w:p>
            <w:pPr>
              <w:spacing w:line="584" w:lineRule="exact"/>
              <w:rPr>
                <w:rFonts w:hint="eastAsia" w:ascii="方正小标宋_GBK" w:hAnsi="方正小标宋_GBK" w:eastAsia="方正小标宋_GBK" w:cs="方正小标宋_GBK"/>
              </w:rPr>
            </w:pPr>
          </w:p>
        </w:tc>
        <w:tc>
          <w:tcPr>
            <w:tcW w:w="850" w:type="dxa"/>
            <w:vMerge w:val="continue"/>
          </w:tcPr>
          <w:p>
            <w:pPr>
              <w:spacing w:line="584" w:lineRule="exact"/>
              <w:rPr>
                <w:rFonts w:hint="eastAsia" w:ascii="方正小标宋_GBK" w:hAnsi="方正小标宋_GBK" w:eastAsia="方正小标宋_GBK" w:cs="方正小标宋_GBK"/>
              </w:rPr>
            </w:pPr>
          </w:p>
        </w:tc>
        <w:tc>
          <w:tcPr>
            <w:tcW w:w="850" w:type="dxa"/>
            <w:vMerge w:val="continue"/>
          </w:tcPr>
          <w:p>
            <w:pPr>
              <w:spacing w:line="584" w:lineRule="exact"/>
              <w:rPr>
                <w:rFonts w:hint="eastAsia" w:ascii="方正小标宋_GBK" w:hAnsi="方正小标宋_GBK" w:eastAsia="方正小标宋_GBK" w:cs="方正小标宋_GBK"/>
              </w:rPr>
            </w:pP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合计</w:t>
            </w: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一般公共预算拨款</w:t>
            </w: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基金预算拨款</w:t>
            </w: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国有资本经营预算拨款</w:t>
            </w: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财政专户核拨</w:t>
            </w: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单位    资金</w:t>
            </w: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财政拨    款结转</w:t>
            </w:r>
          </w:p>
        </w:tc>
        <w:tc>
          <w:tcPr>
            <w:tcW w:w="964" w:type="dxa"/>
            <w:vAlign w:val="center"/>
          </w:tcPr>
          <w:p>
            <w:pPr>
              <w:pStyle w:val="4"/>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非财政    拨款结    转结余</w:t>
            </w:r>
          </w:p>
        </w:tc>
        <w:tc>
          <w:tcPr>
            <w:tcW w:w="964" w:type="dxa"/>
            <w:vMerge w:val="continue"/>
          </w:tcPr>
          <w:p>
            <w:pPr>
              <w:spacing w:line="584" w:lineRule="exact"/>
              <w:rPr>
                <w:rFonts w:hint="eastAsia" w:ascii="方正小标宋_GBK" w:hAnsi="方正小标宋_GBK" w:eastAsia="方正小标宋_GBK" w:cs="方正小标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5"/>
              <w:spacing w:line="584" w:lineRule="exact"/>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合  计</w:t>
            </w:r>
          </w:p>
        </w:tc>
        <w:tc>
          <w:tcPr>
            <w:tcW w:w="964" w:type="dxa"/>
            <w:vAlign w:val="center"/>
          </w:tcPr>
          <w:p>
            <w:pPr>
              <w:pStyle w:val="6"/>
              <w:spacing w:line="584" w:lineRule="exact"/>
              <w:rPr>
                <w:rFonts w:hint="eastAsia" w:ascii="方正小标宋_GBK" w:hAnsi="方正小标宋_GBK" w:eastAsia="方正小标宋_GBK" w:cs="方正小标宋_GBK"/>
                <w:lang w:val="en-US" w:eastAsia="zh-CN"/>
              </w:rPr>
            </w:pPr>
            <w:r>
              <w:rPr>
                <w:rFonts w:hint="eastAsia" w:ascii="方正小标宋_GBK" w:hAnsi="方正小标宋_GBK" w:eastAsia="方正小标宋_GBK" w:cs="方正小标宋_GBK"/>
                <w:lang w:val="en-US" w:eastAsia="zh-CN"/>
              </w:rPr>
              <w:t>0</w:t>
            </w:r>
          </w:p>
        </w:tc>
        <w:tc>
          <w:tcPr>
            <w:tcW w:w="1134" w:type="dxa"/>
            <w:vAlign w:val="center"/>
          </w:tcPr>
          <w:p>
            <w:pPr>
              <w:pStyle w:val="7"/>
              <w:spacing w:line="584" w:lineRule="exact"/>
              <w:rPr>
                <w:rFonts w:hint="eastAsia" w:ascii="方正小标宋_GBK" w:hAnsi="方正小标宋_GBK" w:eastAsia="方正小标宋_GBK" w:cs="方正小标宋_GBK"/>
                <w:lang w:val="en-US" w:eastAsia="zh-CN"/>
              </w:rPr>
            </w:pPr>
          </w:p>
        </w:tc>
        <w:tc>
          <w:tcPr>
            <w:tcW w:w="1134" w:type="dxa"/>
            <w:vAlign w:val="center"/>
          </w:tcPr>
          <w:p>
            <w:pPr>
              <w:pStyle w:val="7"/>
              <w:spacing w:line="584" w:lineRule="exact"/>
              <w:rPr>
                <w:rFonts w:hint="eastAsia" w:ascii="方正小标宋_GBK" w:hAnsi="方正小标宋_GBK" w:eastAsia="方正小标宋_GBK" w:cs="方正小标宋_GBK"/>
              </w:rPr>
            </w:pPr>
          </w:p>
        </w:tc>
        <w:tc>
          <w:tcPr>
            <w:tcW w:w="709" w:type="dxa"/>
            <w:vAlign w:val="center"/>
          </w:tcPr>
          <w:p>
            <w:pPr>
              <w:pStyle w:val="5"/>
              <w:spacing w:line="584" w:lineRule="exact"/>
              <w:rPr>
                <w:rFonts w:hint="eastAsia" w:ascii="方正小标宋_GBK" w:hAnsi="方正小标宋_GBK" w:eastAsia="方正小标宋_GBK" w:cs="方正小标宋_GBK"/>
              </w:rPr>
            </w:pPr>
          </w:p>
        </w:tc>
        <w:tc>
          <w:tcPr>
            <w:tcW w:w="850" w:type="dxa"/>
            <w:vAlign w:val="center"/>
          </w:tcPr>
          <w:p>
            <w:pPr>
              <w:pStyle w:val="6"/>
              <w:spacing w:line="584" w:lineRule="exact"/>
              <w:rPr>
                <w:rFonts w:hint="eastAsia" w:ascii="方正小标宋_GBK" w:hAnsi="方正小标宋_GBK" w:eastAsia="方正小标宋_GBK" w:cs="方正小标宋_GBK"/>
              </w:rPr>
            </w:pPr>
          </w:p>
        </w:tc>
        <w:tc>
          <w:tcPr>
            <w:tcW w:w="850"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c>
          <w:tcPr>
            <w:tcW w:w="964" w:type="dxa"/>
            <w:vAlign w:val="center"/>
          </w:tcPr>
          <w:p>
            <w:pPr>
              <w:pStyle w:val="6"/>
              <w:spacing w:line="584" w:lineRule="exact"/>
              <w:rPr>
                <w:rFonts w:hint="eastAsia" w:ascii="方正小标宋_GBK" w:hAnsi="方正小标宋_GBK" w:eastAsia="方正小标宋_GBK" w:cs="方正小标宋_GBK"/>
              </w:rPr>
            </w:pPr>
          </w:p>
        </w:tc>
      </w:tr>
    </w:tbl>
    <w:p>
      <w:pPr>
        <w:spacing w:line="584" w:lineRule="exact"/>
        <w:ind w:firstLine="420"/>
        <w:rPr>
          <w:rFonts w:hint="eastAsia"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注：同一采购目录序号的物品，其单价会因配置规格不同而变动，均符合资产配置标准。涉密采购事项按照相关规定执行。</w:t>
      </w:r>
    </w:p>
    <w:p>
      <w:pPr>
        <w:spacing w:line="584" w:lineRule="exact"/>
        <w:rPr>
          <w:rFonts w:hint="eastAsia" w:ascii="黑体" w:hAnsi="黑体" w:eastAsia="黑体" w:cs="黑体"/>
          <w:sz w:val="32"/>
          <w:szCs w:val="32"/>
        </w:rPr>
      </w:pPr>
      <w:r>
        <w:rPr>
          <w:rFonts w:hint="eastAsia" w:ascii="黑体" w:hAnsi="黑体" w:eastAsia="黑体" w:cs="黑体"/>
          <w:sz w:val="32"/>
          <w:szCs w:val="32"/>
        </w:rPr>
        <w:t>七、国有资产信息</w:t>
      </w:r>
    </w:p>
    <w:p>
      <w:pPr>
        <w:spacing w:line="584"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香河县</w:t>
      </w:r>
      <w:r>
        <w:rPr>
          <w:rFonts w:hint="eastAsia" w:ascii="楷体" w:hAnsi="楷体" w:eastAsia="楷体" w:cs="楷体"/>
          <w:sz w:val="32"/>
          <w:szCs w:val="32"/>
          <w:lang w:val="en-US" w:eastAsia="zh-CN"/>
        </w:rPr>
        <w:t>司法局</w:t>
      </w:r>
      <w:r>
        <w:rPr>
          <w:rFonts w:hint="eastAsia" w:ascii="楷体" w:hAnsi="楷体" w:eastAsia="楷体" w:cs="楷体"/>
          <w:sz w:val="32"/>
          <w:szCs w:val="32"/>
        </w:rPr>
        <w:t>（含所属单位）上年末固定资产金额为</w:t>
      </w:r>
      <w:r>
        <w:rPr>
          <w:rFonts w:hint="eastAsia" w:ascii="楷体" w:hAnsi="楷体" w:eastAsia="楷体" w:cs="楷体"/>
          <w:sz w:val="32"/>
          <w:szCs w:val="32"/>
          <w:lang w:val="en-US" w:eastAsia="zh-CN"/>
        </w:rPr>
        <w:t>678.88</w:t>
      </w:r>
      <w:r>
        <w:rPr>
          <w:rFonts w:hint="eastAsia" w:ascii="楷体" w:hAnsi="楷体" w:eastAsia="楷体" w:cs="楷体"/>
          <w:sz w:val="32"/>
          <w:szCs w:val="32"/>
        </w:rPr>
        <w:t>万元（详见下表），本年度我部门拟购置固定资产总额为</w:t>
      </w:r>
      <w:r>
        <w:rPr>
          <w:rFonts w:hint="eastAsia" w:ascii="楷体" w:hAnsi="楷体" w:eastAsia="楷体" w:cs="楷体"/>
          <w:sz w:val="32"/>
          <w:szCs w:val="32"/>
          <w:lang w:val="en-US" w:eastAsia="zh-CN"/>
        </w:rPr>
        <w:t>41.99</w:t>
      </w:r>
      <w:r>
        <w:rPr>
          <w:rFonts w:hint="eastAsia" w:ascii="楷体" w:hAnsi="楷体" w:eastAsia="楷体" w:cs="楷体"/>
          <w:sz w:val="32"/>
          <w:szCs w:val="32"/>
        </w:rPr>
        <w:t>万元，主要为（计算机设备、打印设备、空调、办公家具）等。</w:t>
      </w:r>
    </w:p>
    <w:tbl>
      <w:tblPr>
        <w:tblStyle w:val="2"/>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hint="eastAsia" w:ascii="楷体" w:hAnsi="楷体" w:eastAsia="楷体" w:cs="楷体"/>
                <w:b/>
                <w:bCs/>
                <w:kern w:val="0"/>
                <w:sz w:val="32"/>
                <w:szCs w:val="32"/>
              </w:rPr>
            </w:pPr>
            <w:r>
              <w:rPr>
                <w:rFonts w:hint="eastAsia" w:ascii="楷体" w:hAnsi="楷体" w:eastAsia="楷体" w:cs="楷体"/>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楷体" w:hAnsi="楷体" w:eastAsia="楷体" w:cs="楷体"/>
                <w:color w:val="000000" w:themeColor="text1"/>
                <w:kern w:val="0"/>
                <w:sz w:val="32"/>
                <w:szCs w:val="32"/>
                <w:lang w:val="en-US" w:eastAsia="zh-CN"/>
              </w:rPr>
            </w:pPr>
            <w:r>
              <w:rPr>
                <w:rFonts w:hint="eastAsia" w:ascii="楷体" w:hAnsi="楷体" w:eastAsia="楷体" w:cs="楷体"/>
                <w:color w:val="000000" w:themeColor="text1"/>
                <w:kern w:val="0"/>
                <w:sz w:val="32"/>
                <w:szCs w:val="32"/>
                <w:lang w:val="en-US" w:eastAsia="zh-CN"/>
              </w:rPr>
              <w:t>香河县司法局</w:t>
            </w:r>
          </w:p>
        </w:tc>
        <w:tc>
          <w:tcPr>
            <w:tcW w:w="5103" w:type="dxa"/>
            <w:tcBorders>
              <w:top w:val="nil"/>
              <w:left w:val="nil"/>
              <w:bottom w:val="nil"/>
              <w:right w:val="nil"/>
            </w:tcBorders>
            <w:shd w:val="clear" w:color="auto" w:fill="auto"/>
            <w:noWrap/>
            <w:vAlign w:val="center"/>
          </w:tcPr>
          <w:p>
            <w:pPr>
              <w:widowControl/>
              <w:spacing w:line="584" w:lineRule="exact"/>
              <w:jc w:val="left"/>
              <w:rPr>
                <w:rFonts w:hint="eastAsia" w:ascii="楷体" w:hAnsi="楷体" w:eastAsia="楷体" w:cs="楷体"/>
                <w:kern w:val="0"/>
                <w:sz w:val="32"/>
                <w:szCs w:val="32"/>
              </w:rPr>
            </w:pPr>
            <w:r>
              <w:rPr>
                <w:rFonts w:hint="eastAsia" w:ascii="楷体" w:hAnsi="楷体" w:eastAsia="楷体" w:cs="楷体"/>
                <w:kern w:val="0"/>
                <w:sz w:val="32"/>
                <w:szCs w:val="32"/>
              </w:rPr>
              <w:t>截止时间：2022年12月31日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楷体" w:hAnsi="楷体" w:eastAsia="楷体" w:cs="楷体"/>
                <w:b/>
                <w:bCs/>
                <w:kern w:val="0"/>
                <w:sz w:val="32"/>
                <w:szCs w:val="32"/>
              </w:rPr>
            </w:pPr>
            <w:r>
              <w:rPr>
                <w:rFonts w:hint="eastAsia" w:ascii="楷体" w:hAnsi="楷体" w:eastAsia="楷体" w:cs="楷体"/>
                <w:b/>
                <w:bCs/>
                <w:kern w:val="0"/>
                <w:sz w:val="32"/>
                <w:szCs w:val="3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楷体" w:hAnsi="楷体" w:eastAsia="楷体" w:cs="楷体"/>
                <w:b/>
                <w:bCs/>
                <w:kern w:val="0"/>
                <w:sz w:val="32"/>
                <w:szCs w:val="32"/>
              </w:rPr>
            </w:pPr>
            <w:r>
              <w:rPr>
                <w:rFonts w:hint="eastAsia" w:ascii="楷体" w:hAnsi="楷体" w:eastAsia="楷体" w:cs="楷体"/>
                <w:b/>
                <w:bCs/>
                <w:kern w:val="0"/>
                <w:sz w:val="32"/>
                <w:szCs w:val="3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楷体" w:hAnsi="楷体" w:eastAsia="楷体" w:cs="楷体"/>
                <w:b/>
                <w:bCs/>
                <w:kern w:val="0"/>
                <w:sz w:val="32"/>
                <w:szCs w:val="32"/>
              </w:rPr>
            </w:pPr>
            <w:r>
              <w:rPr>
                <w:rFonts w:hint="eastAsia" w:ascii="楷体" w:hAnsi="楷体" w:eastAsia="楷体" w:cs="楷体"/>
                <w:b/>
                <w:bCs/>
                <w:kern w:val="0"/>
                <w:sz w:val="32"/>
                <w:szCs w:val="3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654.69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1241.88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357.68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93.94</w:t>
            </w:r>
            <w:bookmarkStart w:id="24" w:name="_GoBack"/>
            <w:bookmarkEnd w:id="24"/>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楷体" w:hAnsi="楷体" w:eastAsia="楷体" w:cs="楷体"/>
                <w:kern w:val="0"/>
                <w:sz w:val="32"/>
                <w:szCs w:val="32"/>
              </w:rPr>
            </w:pPr>
            <w:r>
              <w:rPr>
                <w:rFonts w:hint="eastAsia" w:ascii="楷体" w:hAnsi="楷体" w:eastAsia="楷体" w:cs="楷体"/>
                <w:kern w:val="0"/>
                <w:sz w:val="32"/>
                <w:szCs w:val="3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1407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272.75</w:t>
            </w:r>
          </w:p>
        </w:tc>
      </w:tr>
    </w:tbl>
    <w:p>
      <w:pPr>
        <w:autoSpaceDE w:val="0"/>
        <w:autoSpaceDN w:val="0"/>
        <w:adjustRightInd w:val="0"/>
        <w:spacing w:line="584"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八、名词解释</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1、一般公共预算拨款收入：</w:t>
      </w:r>
      <w:r>
        <w:rPr>
          <w:rFonts w:hint="eastAsia" w:ascii="楷体" w:hAnsi="楷体" w:eastAsia="楷体" w:cs="楷体"/>
          <w:sz w:val="32"/>
          <w:szCs w:val="32"/>
        </w:rPr>
        <w:t>指县级财政当年拨付的资金。</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2、事业收入：</w:t>
      </w:r>
      <w:r>
        <w:rPr>
          <w:rFonts w:hint="eastAsia" w:ascii="楷体" w:hAnsi="楷体" w:eastAsia="楷体" w:cs="楷体"/>
          <w:sz w:val="32"/>
          <w:szCs w:val="32"/>
        </w:rPr>
        <w:t>指事业单位开展专业业务活动及辅助活动所取得的收入。</w:t>
      </w:r>
    </w:p>
    <w:p>
      <w:pPr>
        <w:tabs>
          <w:tab w:val="left" w:pos="11490"/>
        </w:tabs>
        <w:spacing w:line="584"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3、其他收入：</w:t>
      </w:r>
      <w:r>
        <w:rPr>
          <w:rFonts w:hint="eastAsia" w:ascii="楷体" w:hAnsi="楷体" w:eastAsia="楷体" w:cs="楷体"/>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4、基本支出：</w:t>
      </w:r>
      <w:r>
        <w:rPr>
          <w:rFonts w:hint="eastAsia" w:ascii="楷体" w:hAnsi="楷体" w:eastAsia="楷体" w:cs="楷体"/>
          <w:sz w:val="32"/>
          <w:szCs w:val="32"/>
        </w:rPr>
        <w:t>指为保障机构正常运转、完成日常工作任务而发生的人员支出和公用支出。</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5、项目支出：</w:t>
      </w:r>
      <w:r>
        <w:rPr>
          <w:rFonts w:hint="eastAsia" w:ascii="楷体" w:hAnsi="楷体" w:eastAsia="楷体" w:cs="楷体"/>
          <w:sz w:val="32"/>
          <w:szCs w:val="32"/>
        </w:rPr>
        <w:t>指在基本支出之外为完成特定行政任务和事业发展目标所发生的支出。</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6、上缴上级支出：</w:t>
      </w:r>
      <w:r>
        <w:rPr>
          <w:rFonts w:hint="eastAsia" w:ascii="楷体" w:hAnsi="楷体" w:eastAsia="楷体" w:cs="楷体"/>
          <w:sz w:val="32"/>
          <w:szCs w:val="32"/>
        </w:rPr>
        <w:t>指下级单位上缴上级的支出。</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7、“三公”经费：</w:t>
      </w:r>
      <w:r>
        <w:rPr>
          <w:rFonts w:hint="eastAsia" w:ascii="楷体" w:hAnsi="楷体" w:eastAsia="楷体" w:cs="楷体"/>
          <w:sz w:val="32"/>
          <w:szCs w:val="32"/>
        </w:rPr>
        <w:t>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8、机关运行费：</w:t>
      </w:r>
      <w:r>
        <w:rPr>
          <w:rFonts w:hint="eastAsia" w:ascii="楷体" w:hAnsi="楷体" w:eastAsia="楷体" w:cs="楷体"/>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9、上年结转：</w:t>
      </w:r>
      <w:r>
        <w:rPr>
          <w:rFonts w:hint="eastAsia" w:ascii="楷体" w:hAnsi="楷体" w:eastAsia="楷体" w:cs="楷体"/>
          <w:sz w:val="32"/>
          <w:szCs w:val="32"/>
        </w:rPr>
        <w:t>指以前年度尚未完成、结转到本年仍按原规定用途继续使用的资金。</w:t>
      </w:r>
    </w:p>
    <w:p>
      <w:pPr>
        <w:tabs>
          <w:tab w:val="left" w:pos="11490"/>
        </w:tabs>
        <w:spacing w:line="584" w:lineRule="exact"/>
        <w:ind w:firstLine="643" w:firstLineChars="200"/>
        <w:rPr>
          <w:rFonts w:hint="eastAsia" w:ascii="楷体" w:hAnsi="楷体" w:eastAsia="楷体" w:cs="楷体"/>
          <w:sz w:val="32"/>
          <w:szCs w:val="32"/>
        </w:rPr>
      </w:pPr>
      <w:r>
        <w:rPr>
          <w:rFonts w:hint="eastAsia" w:ascii="楷体" w:hAnsi="楷体" w:eastAsia="楷体" w:cs="楷体"/>
          <w:b/>
          <w:sz w:val="32"/>
          <w:szCs w:val="32"/>
        </w:rPr>
        <w:t>10、事业单位经营支出：</w:t>
      </w:r>
      <w:r>
        <w:rPr>
          <w:rFonts w:hint="eastAsia" w:ascii="楷体" w:hAnsi="楷体" w:eastAsia="楷体" w:cs="楷体"/>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九、其他需要说明的事项</w:t>
      </w:r>
    </w:p>
    <w:p>
      <w:pPr>
        <w:spacing w:line="584"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我部门无其他需要说明的事项。</w:t>
      </w:r>
    </w:p>
    <w:p>
      <w:pPr>
        <w:spacing w:line="584" w:lineRule="exact"/>
        <w:ind w:firstLine="640" w:firstLineChars="200"/>
        <w:rPr>
          <w:rFonts w:hint="eastAsia" w:ascii="楷体" w:hAnsi="楷体" w:eastAsia="楷体" w:cs="楷体"/>
          <w:sz w:val="32"/>
          <w:szCs w:val="32"/>
        </w:rPr>
      </w:pPr>
    </w:p>
    <w:p>
      <w:pPr>
        <w:spacing w:line="584" w:lineRule="exact"/>
        <w:rPr>
          <w:rFonts w:hint="eastAsia" w:ascii="方正小标宋_GBK" w:hAnsi="方正小标宋_GBK" w:eastAsia="方正小标宋_GBK" w:cs="方正小标宋_GBK"/>
          <w:sz w:val="32"/>
          <w:szCs w:val="32"/>
        </w:rPr>
      </w:pPr>
    </w:p>
    <w:p>
      <w:pPr>
        <w:spacing w:line="584" w:lineRule="exact"/>
        <w:ind w:firstLine="643" w:firstLineChars="200"/>
        <w:rPr>
          <w:rFonts w:hint="eastAsia" w:ascii="方正小标宋_GBK" w:hAnsi="方正小标宋_GBK" w:eastAsia="方正小标宋_GBK" w:cs="方正小标宋_GBK"/>
          <w:b/>
          <w:color w:val="FF0000"/>
          <w:sz w:val="32"/>
          <w:szCs w:val="32"/>
          <w:lang w:eastAsia="zh-CN"/>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书宋_GBK">
    <w:panose1 w:val="02000000000000000000"/>
    <w:charset w:val="86"/>
    <w:family w:val="roman"/>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91C32"/>
    <w:multiLevelType w:val="singleLevel"/>
    <w:tmpl w:val="BE691C3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2CE60A6"/>
    <w:rsid w:val="033507FC"/>
    <w:rsid w:val="05F36595"/>
    <w:rsid w:val="0B7642CF"/>
    <w:rsid w:val="0BCF7822"/>
    <w:rsid w:val="10281A06"/>
    <w:rsid w:val="11DB16C4"/>
    <w:rsid w:val="12047670"/>
    <w:rsid w:val="17811809"/>
    <w:rsid w:val="19266E1B"/>
    <w:rsid w:val="20420FDD"/>
    <w:rsid w:val="28AA172B"/>
    <w:rsid w:val="2B221086"/>
    <w:rsid w:val="35CB0982"/>
    <w:rsid w:val="429275CD"/>
    <w:rsid w:val="437774FD"/>
    <w:rsid w:val="43AB3EAF"/>
    <w:rsid w:val="46C10F29"/>
    <w:rsid w:val="48975C98"/>
    <w:rsid w:val="4F304C1F"/>
    <w:rsid w:val="51FA2E63"/>
    <w:rsid w:val="5D7D188D"/>
    <w:rsid w:val="5DA73296"/>
    <w:rsid w:val="622F4F45"/>
    <w:rsid w:val="684B21D6"/>
    <w:rsid w:val="6C725628"/>
    <w:rsid w:val="719E7635"/>
    <w:rsid w:val="73255E1C"/>
    <w:rsid w:val="75C33ED3"/>
    <w:rsid w:val="7620532D"/>
    <w:rsid w:val="768B2138"/>
    <w:rsid w:val="7CDB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5">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6">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7">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9">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2023-03-01T06:40:48Z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